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2D0F8">
      <w:pPr>
        <w:spacing w:before="240" w:after="240"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第十四届金融界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“金智奖”年度评选</w:t>
      </w:r>
    </w:p>
    <w:p w14:paraId="084A96F7">
      <w:pPr>
        <w:spacing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银行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类奖项参选信息申报表</w:t>
      </w:r>
    </w:p>
    <w:p w14:paraId="6F49DAD9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83DE006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公司基本信息 </w:t>
      </w:r>
    </w:p>
    <w:p w14:paraId="179ED5C3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企业名称（中文）：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13B662D4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地址（总部所在地）：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5D89AC6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  <w:u w:val="single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公司官网：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官方微博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官方微信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</w:t>
      </w:r>
    </w:p>
    <w:p w14:paraId="10B98F3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姓　　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名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职　　位：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办公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电话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</w:p>
    <w:p w14:paraId="3F372053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手　　机：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　　　　　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Email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　　　　　　　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传　　真：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</w:p>
    <w:p w14:paraId="7412933E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  <w:u w:val="single"/>
        </w:rPr>
      </w:pPr>
    </w:p>
    <w:p w14:paraId="3B181C6C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参评项目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申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报 </w:t>
      </w:r>
    </w:p>
    <w:p w14:paraId="0B24C01B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申报奖项</w:t>
      </w:r>
      <w:r>
        <w:rPr>
          <w:rFonts w:ascii="微软雅黑" w:hAnsi="微软雅黑" w:eastAsia="微软雅黑"/>
          <w:sz w:val="24"/>
        </w:rPr>
        <w:t xml:space="preserve">名称 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szCs w:val="21"/>
        </w:rPr>
        <w:t xml:space="preserve"> </w:t>
      </w:r>
    </w:p>
    <w:p w14:paraId="339F7F80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参评理由（中文500字以内）：</w:t>
      </w:r>
    </w:p>
    <w:p w14:paraId="189C8E19">
      <w:pPr>
        <w:rPr>
          <w:rFonts w:ascii="微软雅黑" w:hAnsi="微软雅黑" w:eastAsia="微软雅黑"/>
          <w:sz w:val="24"/>
        </w:rPr>
      </w:pPr>
    </w:p>
    <w:p w14:paraId="5053AD18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项目图</w:t>
      </w:r>
      <w:r>
        <w:rPr>
          <w:rFonts w:ascii="微软雅黑" w:hAnsi="微软雅黑" w:eastAsia="微软雅黑"/>
          <w:sz w:val="24"/>
        </w:rPr>
        <w:t>片</w:t>
      </w:r>
      <w:r>
        <w:rPr>
          <w:rFonts w:hint="eastAsia" w:ascii="微软雅黑" w:hAnsi="微软雅黑" w:eastAsia="微软雅黑"/>
          <w:sz w:val="24"/>
        </w:rPr>
        <w:t>（</w:t>
      </w:r>
      <w:r>
        <w:rPr>
          <w:rFonts w:ascii="微软雅黑" w:hAnsi="微软雅黑" w:eastAsia="微软雅黑"/>
          <w:sz w:val="24"/>
        </w:rPr>
        <w:t>请提交与所申</w:t>
      </w:r>
      <w:r>
        <w:rPr>
          <w:rFonts w:hint="eastAsia" w:ascii="微软雅黑" w:hAnsi="微软雅黑" w:eastAsia="微软雅黑"/>
          <w:sz w:val="24"/>
        </w:rPr>
        <w:t>报</w:t>
      </w:r>
      <w:r>
        <w:rPr>
          <w:rFonts w:ascii="微软雅黑" w:hAnsi="微软雅黑" w:eastAsia="微软雅黑"/>
          <w:sz w:val="24"/>
        </w:rPr>
        <w:t>奖项相关</w:t>
      </w:r>
      <w:r>
        <w:rPr>
          <w:rFonts w:hint="eastAsia" w:ascii="微软雅黑" w:hAnsi="微软雅黑" w:eastAsia="微软雅黑"/>
          <w:sz w:val="24"/>
        </w:rPr>
        <w:t>现场</w:t>
      </w:r>
      <w:r>
        <w:rPr>
          <w:rFonts w:ascii="微软雅黑" w:hAnsi="微软雅黑" w:eastAsia="微软雅黑"/>
          <w:sz w:val="24"/>
        </w:rPr>
        <w:t>图片、</w:t>
      </w:r>
      <w:r>
        <w:rPr>
          <w:rFonts w:hint="eastAsia" w:ascii="微软雅黑" w:hAnsi="微软雅黑" w:eastAsia="微软雅黑"/>
          <w:sz w:val="24"/>
        </w:rPr>
        <w:t>产</w:t>
      </w:r>
      <w:r>
        <w:rPr>
          <w:rFonts w:ascii="微软雅黑" w:hAnsi="微软雅黑" w:eastAsia="微软雅黑"/>
          <w:sz w:val="24"/>
        </w:rPr>
        <w:t>品模型</w:t>
      </w:r>
      <w:r>
        <w:rPr>
          <w:rFonts w:hint="eastAsia" w:ascii="微软雅黑" w:hAnsi="微软雅黑" w:eastAsia="微软雅黑"/>
          <w:sz w:val="24"/>
        </w:rPr>
        <w:t>等，至少</w:t>
      </w:r>
      <w:r>
        <w:rPr>
          <w:rFonts w:ascii="微软雅黑" w:hAnsi="微软雅黑" w:eastAsia="微软雅黑"/>
          <w:sz w:val="24"/>
        </w:rPr>
        <w:t>一张</w:t>
      </w:r>
      <w:r>
        <w:rPr>
          <w:rFonts w:hint="eastAsia" w:ascii="微软雅黑" w:hAnsi="微软雅黑" w:eastAsia="微软雅黑"/>
          <w:sz w:val="24"/>
        </w:rPr>
        <w:t>）</w:t>
      </w:r>
    </w:p>
    <w:p w14:paraId="168348D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/>
          <w:color w:val="FF000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附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公司logo（请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提交矢量文件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）</w:t>
      </w:r>
    </w:p>
    <w:p w14:paraId="6CC82A68">
      <w:pPr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申报说明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511"/>
      </w:tblGrid>
      <w:tr w14:paraId="09F109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2"/>
            <w:shd w:val="clear" w:color="auto" w:fill="C00000"/>
          </w:tcPr>
          <w:p w14:paraId="23E579DC">
            <w:pPr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项目推荐表</w:t>
            </w:r>
          </w:p>
        </w:tc>
      </w:tr>
      <w:tr w14:paraId="7A331A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3926A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企业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1511" w:type="dxa"/>
          </w:tcPr>
          <w:p w14:paraId="3052B6E2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14:paraId="1BF41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F8C7C9B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全称</w:t>
            </w:r>
          </w:p>
        </w:tc>
        <w:tc>
          <w:tcPr>
            <w:tcW w:w="11511" w:type="dxa"/>
          </w:tcPr>
          <w:p w14:paraId="2E892618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8D93F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0500A2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1511" w:type="dxa"/>
          </w:tcPr>
          <w:p w14:paraId="5F3D027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18AAC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A333AF5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1511" w:type="dxa"/>
          </w:tcPr>
          <w:p w14:paraId="180BAD8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D99D1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65206B3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案例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11511" w:type="dxa"/>
          </w:tcPr>
          <w:p w14:paraId="6DA15F5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F017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106DEE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要内容及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创新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点</w:t>
            </w:r>
          </w:p>
        </w:tc>
        <w:tc>
          <w:tcPr>
            <w:tcW w:w="11511" w:type="dxa"/>
          </w:tcPr>
          <w:p w14:paraId="091449A3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0FC4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94052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相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关量化指标</w:t>
            </w:r>
          </w:p>
        </w:tc>
        <w:tc>
          <w:tcPr>
            <w:tcW w:w="11511" w:type="dxa"/>
          </w:tcPr>
          <w:p w14:paraId="0A70AB9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282D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B6425CD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阶段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性成果</w:t>
            </w:r>
          </w:p>
        </w:tc>
        <w:tc>
          <w:tcPr>
            <w:tcW w:w="11511" w:type="dxa"/>
          </w:tcPr>
          <w:p w14:paraId="47C0510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B426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76F333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预期目标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  <w:lang w:val="en-US" w:eastAsia="zh-CN"/>
              </w:rPr>
              <w:t>达成</w:t>
            </w:r>
            <w:bookmarkStart w:id="0" w:name="_GoBack"/>
            <w:bookmarkEnd w:id="0"/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1511" w:type="dxa"/>
          </w:tcPr>
          <w:p w14:paraId="0F3D475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5DDBA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08B3B6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一步规划</w:t>
            </w:r>
          </w:p>
        </w:tc>
        <w:tc>
          <w:tcPr>
            <w:tcW w:w="11511" w:type="dxa"/>
          </w:tcPr>
          <w:p w14:paraId="052FB9E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DD360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5D3A6D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其他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资料</w:t>
            </w:r>
          </w:p>
        </w:tc>
        <w:tc>
          <w:tcPr>
            <w:tcW w:w="11511" w:type="dxa"/>
          </w:tcPr>
          <w:p w14:paraId="09F3D43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</w:tbl>
    <w:p w14:paraId="5C4CFA7C">
      <w:pPr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69AEC55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1：奖项说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明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390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7"/>
        <w:gridCol w:w="11212"/>
      </w:tblGrid>
      <w:tr w14:paraId="18D6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tblHeader/>
        </w:trPr>
        <w:tc>
          <w:tcPr>
            <w:tcW w:w="2697" w:type="dxa"/>
            <w:shd w:val="clear" w:color="auto" w:fill="C00000"/>
            <w:noWrap/>
            <w:vAlign w:val="bottom"/>
          </w:tcPr>
          <w:p w14:paraId="5F014920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奖项名称</w:t>
            </w:r>
          </w:p>
        </w:tc>
        <w:tc>
          <w:tcPr>
            <w:tcW w:w="11212" w:type="dxa"/>
            <w:shd w:val="clear" w:color="auto" w:fill="C00000"/>
            <w:noWrap/>
            <w:vAlign w:val="bottom"/>
          </w:tcPr>
          <w:p w14:paraId="1F778754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参评标准</w:t>
            </w:r>
          </w:p>
        </w:tc>
      </w:tr>
      <w:tr w14:paraId="68B8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1DFF0E5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杰出跨境金融创新服务奖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780287AB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跨境结算、贸易融资业务量增长显著；</w:t>
            </w:r>
          </w:p>
          <w:p w14:paraId="19852A28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2.“一带一路”沿线业务布局完善；</w:t>
            </w:r>
          </w:p>
          <w:p w14:paraId="077BFF5D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 汇率风险管理产品体系健全；</w:t>
            </w:r>
          </w:p>
          <w:p w14:paraId="41A98B20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4. 跨境人民币业务创新成果突出。</w:t>
            </w:r>
          </w:p>
        </w:tc>
      </w:tr>
      <w:tr w14:paraId="0FCD1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FC2F161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杰出资产托管服务奖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0DAF78AC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拥有满足各类托管需求的产品体系，且业务种类丰富，实现行业创新；</w:t>
            </w:r>
          </w:p>
          <w:p w14:paraId="68258618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自有托管品牌，自主研发系统，服务境内外主要交易市场；</w:t>
            </w:r>
          </w:p>
          <w:p w14:paraId="6BB53CC7">
            <w:pPr>
              <w:widowControl/>
              <w:spacing w:line="300" w:lineRule="exact"/>
              <w:rPr>
                <w:rFonts w:ascii="微软雅黑 Light" w:hAnsi="微软雅黑 Light" w:eastAsia="微软雅黑 Light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 业务效率和客户体验，忠于客户所托，资产安全“0”投诉。</w:t>
            </w:r>
          </w:p>
        </w:tc>
      </w:tr>
      <w:tr w14:paraId="40C1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8B646D5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杰出高质量发展典范奖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7F7EF7D0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1.在服务实体经济方面有突出贡献，信贷投放与经济发展需求契合度高；</w:t>
            </w:r>
          </w:p>
          <w:p w14:paraId="1F54A8C2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2."五篇大文章"落实成效显著，相关业务占比持续提升；</w:t>
            </w:r>
          </w:p>
          <w:p w14:paraId="0004ED70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3.绿色信贷、普惠金融等重点领域增速高于行业平均水平；</w:t>
            </w:r>
          </w:p>
          <w:p w14:paraId="15F23DE6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4.ESG表现优秀，可持续发展能力突出。</w:t>
            </w:r>
          </w:p>
        </w:tc>
      </w:tr>
      <w:tr w14:paraId="635D1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46C18201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杰出财富管理机构奖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2C188BCD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1.财富管理业务收入占比显著提升，管理客户总资产规模及中收占比持续增长；</w:t>
            </w:r>
          </w:p>
          <w:p w14:paraId="2B05A2A1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2.客户分层服务体系完善，产品创新能力突出；</w:t>
            </w:r>
          </w:p>
          <w:p w14:paraId="06B40B10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3.投资顾问团队专业度高，客户满意度与忠诚度高；</w:t>
            </w:r>
          </w:p>
          <w:p w14:paraId="27D68DCF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4.数字化转型与线下服务融合度高，能满足客户多元化资产配置需求。</w:t>
            </w:r>
          </w:p>
        </w:tc>
      </w:tr>
      <w:tr w14:paraId="57E6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389FB698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杰出乡村振兴服务标杆奖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514C2738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县域存贷款市场份额领先；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农村金融服务网络覆盖广泛；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 农业产业链金融服务模式创新；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4. 金融科技在县域应用效果显著。 </w:t>
            </w:r>
          </w:p>
        </w:tc>
      </w:tr>
      <w:tr w14:paraId="6E434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855E586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杰出智慧风控先锋奖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3A486596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不良贷款率、拨备覆盖率等指标优于行业；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融入科技与创新元素，贴合数字化转型趋势，积极运用大数据、人工智能等科技手段，革新风险管理模式；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3. 合规管理体系建设成效显著，风险预警体系完善，风险处置能力突出。 </w:t>
            </w:r>
          </w:p>
        </w:tc>
      </w:tr>
      <w:tr w14:paraId="5FDB4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7789E10E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杰出信用卡品牌价值奖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618A3E9E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积极响应国家战略需求，以产品创新为发力点，拥有不同主题信用卡产品；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始终坚持创新，探索新路径，构建无界开放的数字金融新生态；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3. 截至2024年末，信用卡累计发卡量不低于2000万张，交易量不低于3000亿元。 </w:t>
            </w:r>
          </w:p>
        </w:tc>
      </w:tr>
      <w:tr w14:paraId="1E37A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68E6D6AC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杰出手机银行卓越体验奖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0A9C4260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能为客户提供全面、便利、高效、安全的业务办理渠道；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对业务办理终端不断更新细化，业务涉及面广泛，场景产品丰富多样；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3. 月活跃用户数多，交易活跃，累计用户数不低于500万。 </w:t>
            </w:r>
          </w:p>
        </w:tc>
      </w:tr>
      <w:tr w14:paraId="10551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35FB8B9C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杰出消费金融创新实践奖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24D30D73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推出符合新市民、年轻群体等特定客群需求的消费信贷产品，审批流程高效，用户体验优良；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深度嵌入电商、旅游、教育、家装等消费场景，提供无缝衔接的金融服务；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 运用大数据、AI等科技手段实现精准授信与动态风险管理，资产质量保持优良。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4. 有效提振居民消费，对扩大内需战略有切实贡献。 </w:t>
            </w:r>
          </w:p>
        </w:tc>
      </w:tr>
      <w:tr w14:paraId="7A66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32CFB0E3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杰出服务消费突出贡献奖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6D51F82F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在文化、旅游、餐饮、康养等服务消费领域提供专项信贷支持，余额与增速显著；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构建丰富的服务消费支付生态，通过优惠活动、积分权益等有效拉动消费频次与金额；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3. 形成“金融+场景”的特色服务模式，在助力服务消费提质扩容方面成效突出。 </w:t>
            </w:r>
          </w:p>
        </w:tc>
      </w:tr>
      <w:tr w14:paraId="0638D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308ECDC3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杰出“小而美”区域金融贡献奖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6EF123B8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在特定区域（如长三角、粤港澳、成渝等）服务实体经济成效显著；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区域特色产业支持力度大，信贷投放精准；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 地方重大项目参与度高，金融服务与区域战略契合度高；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4. 区域市场品牌影响力突出。 </w:t>
            </w:r>
          </w:p>
        </w:tc>
      </w:tr>
      <w:tr w14:paraId="41DA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3D975D5E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杰出“小而美”精专赛道领军奖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08A611CE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明确专注于某一细分领域，并已成为该领域的公认专家；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具备该领域深度定制化的产品、专业的人才团队和成熟的风控模型；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3. 在该细分领域内，其市场份额、品牌影响力或客户认可度处于领先地位。 </w:t>
            </w:r>
          </w:p>
        </w:tc>
      </w:tr>
      <w:tr w14:paraId="4053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2006D4E8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杰出投教品牌建设奖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1501F2B5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将投资者教育提升至品牌战略核心，形成独特且统一的投教品牌形象与价值主张；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建立常态化、跨媒体的品牌传播体系，有效扩大投教公众影响力与品牌美誉度；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3. 投教品牌建设有效反哺公司整体声誉，在增强客户信任、履行社会责任方面获得专业认可。 </w:t>
            </w:r>
          </w:p>
        </w:tc>
      </w:tr>
      <w:tr w14:paraId="5A37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73F90ACA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杰出消费者权益保护标杆机构奖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7BC8D711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消保工作由董事会、高管层实质性管理和监督，拥有独立的消保部门和完善的制度体系，资源投入充足；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在产品与服务的设计、研发、定价等环节，已内置消保审查机制，能从源头识别和规避潜在风险；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 销售过程实行“双录”（录音录像）并严格管理，营销宣传材料真实、准确、无误导，无强制搭售等行为；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4. 拥有畅通、高效的投诉处理渠道，投诉办结率、满意率高；能对投诉进行深度分析，并反馈至前端以改进产品与服务。 </w:t>
            </w:r>
          </w:p>
        </w:tc>
      </w:tr>
      <w:tr w14:paraId="503C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2FDE965F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杰出投教与消保创意案例奖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08887D42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在内容、形式、技术或渠道上有显著创新，如运用VR/AR、短视频、直播等形式（需提供案例）；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目标受众清晰，互动性与参与度高，社会反响好，在行业内具有示范引领作用；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3. 案例效果可量化评估，在提升投资者认知、防范金融风险等方面取得明确成效。 </w:t>
            </w:r>
          </w:p>
        </w:tc>
      </w:tr>
      <w:tr w14:paraId="6361E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46F13837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杰出客户陪伴服务典范奖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7C6612C6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 在市场出现大幅波动或产品净值发生重大变化时，能主动、及时地向客户提供解读、分析和情绪安抚，而非被动等待客户咨询；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 陪伴内容不止于安抚，更能提供专业的市场分析、资产配置再平衡建议等，帮助客户理性决策；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 覆盖“投前、投中、投后”全周期，特别是在投后阶段，有常态化的报告、回顾和沟通机制；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 xml:space="preserve">4. 通过客户调研，其在“被关怀”、“被尊重”方面的满意度得分显著领先。 </w:t>
            </w:r>
          </w:p>
        </w:tc>
      </w:tr>
    </w:tbl>
    <w:p w14:paraId="6BF1E266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备注：</w:t>
      </w:r>
      <w:r>
        <w:rPr>
          <w:rFonts w:hint="eastAsia" w:ascii="微软雅黑" w:hAnsi="微软雅黑" w:eastAsia="微软雅黑"/>
          <w:sz w:val="24"/>
        </w:rPr>
        <w:t>本次奖项以最终确定为准。</w:t>
      </w:r>
    </w:p>
    <w:p w14:paraId="6640C59B">
      <w:pPr>
        <w:rPr>
          <w:rFonts w:ascii="微软雅黑" w:hAnsi="微软雅黑" w:eastAsia="微软雅黑"/>
          <w:sz w:val="24"/>
        </w:rPr>
      </w:pPr>
    </w:p>
    <w:p w14:paraId="661E540B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件2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：评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选规则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p w14:paraId="5791753A">
      <w:pPr>
        <w:rPr>
          <w:rFonts w:hint="eastAsia" w:ascii="微软雅黑" w:hAnsi="微软雅黑" w:eastAsia="微软雅黑"/>
          <w:sz w:val="24"/>
        </w:rPr>
      </w:pPr>
    </w:p>
    <w:p w14:paraId="03725585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第十四届金融界“金智奖”年度评选</w:t>
      </w:r>
      <w:r>
        <w:rPr>
          <w:rFonts w:hint="eastAsia" w:ascii="微软雅黑" w:hAnsi="微软雅黑" w:eastAsia="微软雅黑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通过金融界全媒体平台及合作渠道发布评选启动公告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以及</w:t>
      </w:r>
      <w:r>
        <w:rPr>
          <w:rFonts w:hint="eastAsia" w:ascii="微软雅黑" w:hAnsi="微软雅黑" w:eastAsia="微软雅黑"/>
          <w:b w:val="0"/>
          <w:bCs w:val="0"/>
          <w:sz w:val="24"/>
        </w:rPr>
        <w:t>向往届获奖机构及知名金融机构发出定向参赛邀请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ascii="微软雅黑" w:hAnsi="微软雅黑" w:eastAsia="微软雅黑"/>
          <w:sz w:val="24"/>
        </w:rPr>
        <w:t>从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企业的</w:t>
      </w:r>
      <w:r>
        <w:rPr>
          <w:rFonts w:hint="eastAsia" w:ascii="微软雅黑" w:hAnsi="微软雅黑" w:eastAsia="微软雅黑"/>
          <w:sz w:val="24"/>
        </w:rPr>
        <w:t>品牌、产品、服务、创新、营销以</w:t>
      </w:r>
      <w:r>
        <w:rPr>
          <w:rFonts w:ascii="微软雅黑" w:hAnsi="微软雅黑" w:eastAsia="微软雅黑"/>
          <w:sz w:val="24"/>
        </w:rPr>
        <w:t>及</w:t>
      </w:r>
      <w:r>
        <w:rPr>
          <w:rFonts w:hint="eastAsia" w:ascii="微软雅黑" w:hAnsi="微软雅黑" w:eastAsia="微软雅黑"/>
          <w:sz w:val="24"/>
        </w:rPr>
        <w:t>社会责任等</w:t>
      </w:r>
      <w:r>
        <w:rPr>
          <w:rFonts w:ascii="微软雅黑" w:hAnsi="微软雅黑" w:eastAsia="微软雅黑"/>
          <w:sz w:val="24"/>
        </w:rPr>
        <w:t>维度</w:t>
      </w:r>
      <w:r>
        <w:rPr>
          <w:rFonts w:hint="eastAsia" w:ascii="微软雅黑" w:hAnsi="微软雅黑" w:eastAsia="微软雅黑"/>
          <w:sz w:val="24"/>
        </w:rPr>
        <w:t>进</w:t>
      </w:r>
      <w:r>
        <w:rPr>
          <w:rFonts w:ascii="微软雅黑" w:hAnsi="微软雅黑" w:eastAsia="微软雅黑"/>
          <w:sz w:val="24"/>
        </w:rPr>
        <w:t>行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分析</w:t>
      </w:r>
      <w:r>
        <w:rPr>
          <w:rFonts w:hint="eastAsia" w:ascii="微软雅黑" w:hAnsi="微软雅黑" w:eastAsia="微软雅黑"/>
          <w:sz w:val="24"/>
        </w:rPr>
        <w:t>与专家</w:t>
      </w:r>
      <w:r>
        <w:rPr>
          <w:rFonts w:ascii="微软雅黑" w:hAnsi="微软雅黑" w:eastAsia="微软雅黑"/>
          <w:sz w:val="24"/>
        </w:rPr>
        <w:t>调研</w:t>
      </w:r>
      <w:r>
        <w:rPr>
          <w:rFonts w:hint="eastAsia" w:ascii="微软雅黑" w:hAnsi="微软雅黑" w:eastAsia="微软雅黑"/>
          <w:sz w:val="24"/>
        </w:rPr>
        <w:t>，最</w:t>
      </w:r>
      <w:r>
        <w:rPr>
          <w:rFonts w:ascii="微软雅黑" w:hAnsi="微软雅黑" w:eastAsia="微软雅黑"/>
          <w:sz w:val="24"/>
        </w:rPr>
        <w:t>终</w:t>
      </w:r>
      <w:r>
        <w:rPr>
          <w:rFonts w:hint="eastAsia" w:ascii="微软雅黑" w:hAnsi="微软雅黑" w:eastAsia="微软雅黑"/>
          <w:sz w:val="24"/>
        </w:rPr>
        <w:t>通过网络评审（投票）</w:t>
      </w:r>
      <w:r>
        <w:rPr>
          <w:rFonts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</w:rPr>
        <w:t>量化评审、专家评审</w:t>
      </w:r>
      <w:r>
        <w:rPr>
          <w:rFonts w:ascii="微软雅黑" w:hAnsi="微软雅黑" w:eastAsia="微软雅黑"/>
          <w:sz w:val="24"/>
        </w:rPr>
        <w:t>等环节确</w:t>
      </w:r>
      <w:r>
        <w:rPr>
          <w:rFonts w:hint="eastAsia" w:ascii="微软雅黑" w:hAnsi="微软雅黑" w:eastAsia="微软雅黑"/>
          <w:sz w:val="24"/>
        </w:rPr>
        <w:t>认</w:t>
      </w:r>
      <w:r>
        <w:rPr>
          <w:rFonts w:ascii="微软雅黑" w:hAnsi="微软雅黑" w:eastAsia="微软雅黑"/>
          <w:sz w:val="24"/>
        </w:rPr>
        <w:t>获奖名单</w:t>
      </w:r>
      <w:r>
        <w:rPr>
          <w:rFonts w:hint="eastAsia" w:ascii="微软雅黑" w:hAnsi="微软雅黑" w:eastAsia="微软雅黑"/>
          <w:sz w:val="24"/>
        </w:rPr>
        <w:t>。</w:t>
      </w:r>
    </w:p>
    <w:p w14:paraId="736C224A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第一阶段：报名与征集（即日- 11月20号）</w:t>
      </w:r>
    </w:p>
    <w:p w14:paraId="6781594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参选方式（双轨并行）：</w:t>
      </w:r>
    </w:p>
    <w:p w14:paraId="5FD7C2CD">
      <w:pPr>
        <w:numPr>
          <w:ilvl w:val="0"/>
          <w:numId w:val="1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机构自荐： 参评机构通过官方公告的邮箱（</w:t>
      </w:r>
      <w:r>
        <w:rPr>
          <w:rFonts w:hint="eastAsia" w:ascii="微软雅黑" w:hAnsi="微软雅黑" w:eastAsia="微软雅黑"/>
          <w:b/>
          <w:bCs/>
          <w:color w:val="C00000"/>
          <w:sz w:val="24"/>
        </w:rPr>
        <w:t>qhzg@jrj.com.cn</w:t>
      </w:r>
      <w:r>
        <w:rPr>
          <w:rFonts w:hint="eastAsia" w:ascii="微软雅黑" w:hAnsi="微软雅黑" w:eastAsia="微软雅黑"/>
          <w:b w:val="0"/>
          <w:bCs w:val="0"/>
          <w:sz w:val="24"/>
        </w:rPr>
        <w:t>）报名，下载并填写统一的《参评资料审核模板》。</w:t>
      </w:r>
    </w:p>
    <w:p w14:paraId="6C9D9F88">
      <w:pPr>
        <w:numPr>
          <w:ilvl w:val="0"/>
          <w:numId w:val="0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主办方/专家推荐：由金融界或评审委员会推荐优质机构参与，确保头部机构的覆盖面。</w:t>
      </w:r>
    </w:p>
    <w:p w14:paraId="40441B7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材料初审：组委会在收到报名材料后，于3个工作日内完成形式审核并发送确认回执。</w:t>
      </w:r>
    </w:p>
    <w:p w14:paraId="7DB11143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第二阶段：三轮评审（2025年11月21日- 12月10日）</w:t>
      </w:r>
    </w:p>
    <w:p w14:paraId="1594307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A. 量化评审（权重30%）</w:t>
      </w:r>
    </w:p>
    <w:p w14:paraId="4DFC9E9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时间：2025年11月21日- 11月23日</w:t>
      </w:r>
    </w:p>
    <w:p w14:paraId="5B54EFA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操作：评审委员会依据报名材料，对机构的资质、业务数据、合规情况等进行量化打分。此环节侧重于客观数据。</w:t>
      </w:r>
    </w:p>
    <w:p w14:paraId="42699A1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网络评审（权重40%）</w:t>
      </w:r>
    </w:p>
    <w:p w14:paraId="793A67D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时间：2025年11月23日- 12月6日</w:t>
      </w:r>
    </w:p>
    <w:p w14:paraId="2FC7961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操作：联合第三方权威数据调研公司，对参评机构的市场表现、用户口碑、品牌影响力等进行综合调研与评估。</w:t>
      </w:r>
    </w:p>
    <w:p w14:paraId="21528ED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C. 专家评审（权重30%）</w:t>
      </w:r>
    </w:p>
    <w:p w14:paraId="6FE0236D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时间：2025年12月6日-12月10日</w:t>
      </w:r>
    </w:p>
    <w:p w14:paraId="2A19FAE7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操作：组建不少于10人的权威专家评审团，在量化与网络评审的基础上，对候选机构进行最终评议与背对背打分。此环节侧重于专业判断与行业前瞻性。</w:t>
      </w:r>
    </w:p>
    <w:p w14:paraId="1383D2B1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第三阶段：结果确认（2025年12月10日- 12月15日）</w:t>
      </w:r>
    </w:p>
    <w:p w14:paraId="057B2C6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数据汇总：组委会根据公式“总得分 = 量化评审(30%) + 网络评审(40%) + 专家评审(30%)” 进行最终分数核算与排名。</w:t>
      </w:r>
    </w:p>
    <w:p w14:paraId="6D8793F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名单确认：召开评审委员会终审会议，确认最终获奖名单，确保过程的公平、公正、公开。</w:t>
      </w:r>
    </w:p>
    <w:p w14:paraId="7A8F47C4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第四阶段：结果公示（2025年12月26日）</w:t>
      </w:r>
    </w:p>
    <w:p w14:paraId="17A84EB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最终</w:t>
      </w:r>
      <w:r>
        <w:rPr>
          <w:rFonts w:hint="eastAsia" w:ascii="微软雅黑" w:hAnsi="微软雅黑" w:eastAsia="微软雅黑"/>
          <w:b w:val="0"/>
          <w:bCs w:val="0"/>
          <w:sz w:val="24"/>
        </w:rPr>
        <w:t>获奖名单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通过金融界PC端、手机金融界、金融界APP、官方微信、微博等全媒体矩阵进行公布。</w:t>
      </w:r>
    </w:p>
    <w:p w14:paraId="144CE635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备注</w:t>
      </w:r>
      <w:r>
        <w:rPr>
          <w:rFonts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</w:rPr>
        <w:t>本次</w:t>
      </w:r>
      <w:r>
        <w:rPr>
          <w:rFonts w:ascii="微软雅黑" w:hAnsi="微软雅黑" w:eastAsia="微软雅黑"/>
          <w:sz w:val="24"/>
        </w:rPr>
        <w:t>活动</w:t>
      </w:r>
      <w:r>
        <w:rPr>
          <w:rFonts w:hint="eastAsia" w:ascii="微软雅黑" w:hAnsi="微软雅黑" w:eastAsia="微软雅黑"/>
          <w:sz w:val="24"/>
        </w:rPr>
        <w:t>最终解释权归金融界所有。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C9874">
    <w:pPr>
      <w:pStyle w:val="3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119380</wp:posOffset>
          </wp:positionH>
          <wp:positionV relativeFrom="paragraph">
            <wp:posOffset>-45085</wp:posOffset>
          </wp:positionV>
          <wp:extent cx="2071370" cy="314325"/>
          <wp:effectExtent l="0" t="0" r="5080" b="9525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1370" cy="3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00F7C6">
    <w:pPr>
      <w:pStyle w:val="3"/>
      <w:rPr>
        <w:rFonts w:ascii="黑体" w:hAnsi="黑体" w:eastAsia="黑体"/>
      </w:rPr>
    </w:pPr>
    <w:r>
      <w:rPr>
        <w:rFonts w:hint="eastAsia"/>
      </w:rPr>
      <w:t xml:space="preserve">            </w:t>
    </w:r>
    <w:r>
      <w:t xml:space="preserve">                                                                             </w:t>
    </w:r>
    <w:r>
      <w:rPr>
        <w:rFonts w:hint="eastAsia" w:ascii="黑体" w:hAnsi="黑体" w:eastAsia="黑体"/>
        <w:lang w:val="en-US" w:eastAsia="zh-CN"/>
      </w:rPr>
      <w:t>第十四届</w:t>
    </w:r>
    <w:r>
      <w:rPr>
        <w:rFonts w:ascii="黑体" w:hAnsi="黑体" w:eastAsia="黑体"/>
      </w:rPr>
      <w:t>金融界 “</w:t>
    </w:r>
    <w:r>
      <w:rPr>
        <w:rFonts w:hint="eastAsia" w:ascii="黑体" w:hAnsi="黑体" w:eastAsia="黑体"/>
      </w:rPr>
      <w:t>金智</w:t>
    </w:r>
    <w:r>
      <w:rPr>
        <w:rFonts w:ascii="黑体" w:hAnsi="黑体" w:eastAsia="黑体"/>
      </w:rPr>
      <w:t>奖”</w:t>
    </w:r>
    <w:r>
      <w:rPr>
        <w:rFonts w:hint="eastAsia" w:ascii="黑体" w:hAnsi="黑体" w:eastAsia="黑体"/>
        <w:lang w:val="en-US" w:eastAsia="zh-CN"/>
      </w:rPr>
      <w:t>年度</w:t>
    </w:r>
    <w:r>
      <w:rPr>
        <w:rFonts w:hint="eastAsia" w:ascii="黑体" w:hAnsi="黑体" w:eastAsia="黑体"/>
      </w:rPr>
      <w:t>评选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E5272"/>
    <w:multiLevelType w:val="singleLevel"/>
    <w:tmpl w:val="82BE527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89"/>
    <w:rsid w:val="00001DE1"/>
    <w:rsid w:val="00017CB4"/>
    <w:rsid w:val="00036CBE"/>
    <w:rsid w:val="00044FB7"/>
    <w:rsid w:val="000719EC"/>
    <w:rsid w:val="00090D6E"/>
    <w:rsid w:val="000C4E44"/>
    <w:rsid w:val="000E79D3"/>
    <w:rsid w:val="000F000F"/>
    <w:rsid w:val="00117964"/>
    <w:rsid w:val="00181AC1"/>
    <w:rsid w:val="00193002"/>
    <w:rsid w:val="001A379D"/>
    <w:rsid w:val="001C712E"/>
    <w:rsid w:val="001F51F4"/>
    <w:rsid w:val="001F7928"/>
    <w:rsid w:val="00233330"/>
    <w:rsid w:val="002520DB"/>
    <w:rsid w:val="00287A64"/>
    <w:rsid w:val="002937DB"/>
    <w:rsid w:val="002A4BED"/>
    <w:rsid w:val="002C60BE"/>
    <w:rsid w:val="002C6208"/>
    <w:rsid w:val="002F0248"/>
    <w:rsid w:val="0034321D"/>
    <w:rsid w:val="00371DB8"/>
    <w:rsid w:val="00375E69"/>
    <w:rsid w:val="00381B28"/>
    <w:rsid w:val="003B400A"/>
    <w:rsid w:val="003C3A3A"/>
    <w:rsid w:val="003E1BC8"/>
    <w:rsid w:val="003F1D90"/>
    <w:rsid w:val="003F78ED"/>
    <w:rsid w:val="004050C0"/>
    <w:rsid w:val="00405704"/>
    <w:rsid w:val="0041081C"/>
    <w:rsid w:val="00416B8C"/>
    <w:rsid w:val="00420360"/>
    <w:rsid w:val="00423AB2"/>
    <w:rsid w:val="00434632"/>
    <w:rsid w:val="00434A89"/>
    <w:rsid w:val="00445935"/>
    <w:rsid w:val="00451371"/>
    <w:rsid w:val="0046076F"/>
    <w:rsid w:val="00463A4C"/>
    <w:rsid w:val="00463B62"/>
    <w:rsid w:val="00471CB6"/>
    <w:rsid w:val="004A324A"/>
    <w:rsid w:val="004C35CD"/>
    <w:rsid w:val="004D556F"/>
    <w:rsid w:val="004E08A8"/>
    <w:rsid w:val="004E17AA"/>
    <w:rsid w:val="004F3CFB"/>
    <w:rsid w:val="004F4ABB"/>
    <w:rsid w:val="00525565"/>
    <w:rsid w:val="0056561F"/>
    <w:rsid w:val="00592FBC"/>
    <w:rsid w:val="005A1FD8"/>
    <w:rsid w:val="005B3949"/>
    <w:rsid w:val="005F3C27"/>
    <w:rsid w:val="00634292"/>
    <w:rsid w:val="0064674C"/>
    <w:rsid w:val="00666A02"/>
    <w:rsid w:val="006A6461"/>
    <w:rsid w:val="00700B8B"/>
    <w:rsid w:val="007359C7"/>
    <w:rsid w:val="00766A1F"/>
    <w:rsid w:val="007709CF"/>
    <w:rsid w:val="00784F47"/>
    <w:rsid w:val="00792C30"/>
    <w:rsid w:val="007C63B2"/>
    <w:rsid w:val="007E3A99"/>
    <w:rsid w:val="007E7800"/>
    <w:rsid w:val="008038BE"/>
    <w:rsid w:val="00803BCB"/>
    <w:rsid w:val="00811EE2"/>
    <w:rsid w:val="00815922"/>
    <w:rsid w:val="00820BA7"/>
    <w:rsid w:val="00840CCE"/>
    <w:rsid w:val="00842E10"/>
    <w:rsid w:val="0084407C"/>
    <w:rsid w:val="00855A6B"/>
    <w:rsid w:val="0086042A"/>
    <w:rsid w:val="00862775"/>
    <w:rsid w:val="00873FFE"/>
    <w:rsid w:val="008760EC"/>
    <w:rsid w:val="00876F85"/>
    <w:rsid w:val="00877897"/>
    <w:rsid w:val="008C5908"/>
    <w:rsid w:val="008D4A80"/>
    <w:rsid w:val="008E3909"/>
    <w:rsid w:val="008F74EC"/>
    <w:rsid w:val="00900421"/>
    <w:rsid w:val="00900E69"/>
    <w:rsid w:val="00992251"/>
    <w:rsid w:val="009A2079"/>
    <w:rsid w:val="009B3F86"/>
    <w:rsid w:val="009C0E44"/>
    <w:rsid w:val="009C3C4E"/>
    <w:rsid w:val="009C691A"/>
    <w:rsid w:val="009D2256"/>
    <w:rsid w:val="009E4609"/>
    <w:rsid w:val="00A15FE7"/>
    <w:rsid w:val="00A2242D"/>
    <w:rsid w:val="00A5715D"/>
    <w:rsid w:val="00A635C4"/>
    <w:rsid w:val="00A671EE"/>
    <w:rsid w:val="00A718D0"/>
    <w:rsid w:val="00A96240"/>
    <w:rsid w:val="00AB1385"/>
    <w:rsid w:val="00B0286B"/>
    <w:rsid w:val="00B24391"/>
    <w:rsid w:val="00B432EB"/>
    <w:rsid w:val="00B555E8"/>
    <w:rsid w:val="00B63FC7"/>
    <w:rsid w:val="00B71560"/>
    <w:rsid w:val="00BB670B"/>
    <w:rsid w:val="00BE60A6"/>
    <w:rsid w:val="00BF4DF5"/>
    <w:rsid w:val="00C0369F"/>
    <w:rsid w:val="00C14813"/>
    <w:rsid w:val="00C27217"/>
    <w:rsid w:val="00C33293"/>
    <w:rsid w:val="00CA6473"/>
    <w:rsid w:val="00CC3813"/>
    <w:rsid w:val="00CD47D5"/>
    <w:rsid w:val="00CE74FA"/>
    <w:rsid w:val="00CF1A4A"/>
    <w:rsid w:val="00CF5E46"/>
    <w:rsid w:val="00D06725"/>
    <w:rsid w:val="00D379ED"/>
    <w:rsid w:val="00D54E1A"/>
    <w:rsid w:val="00D67CA2"/>
    <w:rsid w:val="00D835BB"/>
    <w:rsid w:val="00D8516D"/>
    <w:rsid w:val="00DB11BD"/>
    <w:rsid w:val="00DC14D9"/>
    <w:rsid w:val="00DC2D3E"/>
    <w:rsid w:val="00DD10EC"/>
    <w:rsid w:val="00DE21D8"/>
    <w:rsid w:val="00DE76EF"/>
    <w:rsid w:val="00E132B7"/>
    <w:rsid w:val="00E23C43"/>
    <w:rsid w:val="00E36FD7"/>
    <w:rsid w:val="00E6345F"/>
    <w:rsid w:val="00E944D5"/>
    <w:rsid w:val="00EA1DE1"/>
    <w:rsid w:val="00ED2F1C"/>
    <w:rsid w:val="00EE064C"/>
    <w:rsid w:val="00F1198C"/>
    <w:rsid w:val="00F22A86"/>
    <w:rsid w:val="00F23C20"/>
    <w:rsid w:val="00F50C8F"/>
    <w:rsid w:val="00F63699"/>
    <w:rsid w:val="00F668B5"/>
    <w:rsid w:val="00F72E04"/>
    <w:rsid w:val="00F900EF"/>
    <w:rsid w:val="00FA7D0F"/>
    <w:rsid w:val="00FB35DD"/>
    <w:rsid w:val="00FD3E0F"/>
    <w:rsid w:val="00FD5B64"/>
    <w:rsid w:val="00FD6B44"/>
    <w:rsid w:val="0A745034"/>
    <w:rsid w:val="0D650706"/>
    <w:rsid w:val="2BC872FB"/>
    <w:rsid w:val="2D73279F"/>
    <w:rsid w:val="400B75FC"/>
    <w:rsid w:val="573D4EEA"/>
    <w:rsid w:val="57445A7E"/>
    <w:rsid w:val="68AF4719"/>
    <w:rsid w:val="71363523"/>
    <w:rsid w:val="78091318"/>
    <w:rsid w:val="792A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color w:val="F7313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content-right_8zs40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316</Words>
  <Characters>329</Characters>
  <Lines>15</Lines>
  <Paragraphs>4</Paragraphs>
  <TotalTime>0</TotalTime>
  <ScaleCrop>false</ScaleCrop>
  <LinksUpToDate>false</LinksUpToDate>
  <CharactersWithSpaces>782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2025-10-16T07:37:00Z</dcterms:created>
  <dc:creator>葛文静</dc:creator>
  <cp:lastModifiedBy>百尹弥子</cp:lastModifiedBy>
  <cp:lastPrinted>2021-11-08T10:29:00Z</cp:lastPrinted>
  <dcterms:modified xsi:type="dcterms:W3CDTF">2025-11-12T07:15:24Z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eyJoZGlkIjoiZmQ5ZDY4ZjI3ZGRjMmE0NDFjNTkwNWYxNjE5YjBlZmMiLCJ1c2VySWQiOiIyNDU2Mzc4ODYifQ==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D389CB0456304329B11FE94D02E6CA31_13</vt:lpwstr>
  </property>
</Properties>
</file>