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22D0F8">
      <w:pPr>
        <w:spacing w:before="240" w:after="240" w:line="360" w:lineRule="auto"/>
        <w:jc w:val="center"/>
        <w:rPr>
          <w:rFonts w:ascii="微软雅黑" w:hAnsi="微软雅黑" w:eastAsia="微软雅黑" w:cs="微软雅黑"/>
          <w:b/>
          <w:bCs/>
          <w:color w:val="C00000"/>
          <w:kern w:val="0"/>
          <w:sz w:val="48"/>
          <w:szCs w:val="48"/>
        </w:rPr>
      </w:pPr>
      <w:r>
        <w:rPr>
          <w:rFonts w:hint="eastAsia" w:ascii="微软雅黑" w:hAnsi="微软雅黑" w:eastAsia="微软雅黑" w:cs="微软雅黑"/>
          <w:b/>
          <w:bCs/>
          <w:color w:val="C00000"/>
          <w:kern w:val="0"/>
          <w:sz w:val="48"/>
          <w:szCs w:val="48"/>
          <w:lang w:val="en-US" w:eastAsia="zh-CN"/>
        </w:rPr>
        <w:t>第十四届金融界</w:t>
      </w:r>
      <w:r>
        <w:rPr>
          <w:rFonts w:hint="eastAsia" w:ascii="微软雅黑" w:hAnsi="微软雅黑" w:eastAsia="微软雅黑" w:cs="微软雅黑"/>
          <w:b/>
          <w:bCs/>
          <w:color w:val="C00000"/>
          <w:kern w:val="0"/>
          <w:sz w:val="48"/>
          <w:szCs w:val="48"/>
        </w:rPr>
        <w:t>“金智奖”年度评选</w:t>
      </w:r>
    </w:p>
    <w:p w14:paraId="084A96F7">
      <w:pPr>
        <w:spacing w:line="360" w:lineRule="auto"/>
        <w:jc w:val="center"/>
        <w:rPr>
          <w:rFonts w:ascii="微软雅黑" w:hAnsi="微软雅黑" w:eastAsia="微软雅黑" w:cs="微软雅黑"/>
          <w:b/>
          <w:bCs/>
          <w:color w:val="C00000"/>
          <w:kern w:val="0"/>
          <w:sz w:val="48"/>
          <w:szCs w:val="48"/>
        </w:rPr>
      </w:pPr>
      <w:r>
        <w:rPr>
          <w:rFonts w:hint="eastAsia" w:ascii="微软雅黑" w:hAnsi="微软雅黑" w:eastAsia="微软雅黑" w:cs="微软雅黑"/>
          <w:b/>
          <w:bCs/>
          <w:color w:val="C00000"/>
          <w:kern w:val="0"/>
          <w:sz w:val="48"/>
          <w:szCs w:val="48"/>
          <w:lang w:val="en-US" w:eastAsia="zh-CN"/>
        </w:rPr>
        <w:t>私募</w:t>
      </w:r>
      <w:r>
        <w:rPr>
          <w:rFonts w:hint="eastAsia" w:ascii="微软雅黑" w:hAnsi="微软雅黑" w:eastAsia="微软雅黑" w:cs="微软雅黑"/>
          <w:b/>
          <w:bCs/>
          <w:color w:val="C00000"/>
          <w:kern w:val="0"/>
          <w:sz w:val="48"/>
          <w:szCs w:val="48"/>
        </w:rPr>
        <w:t>类奖项参选信息申报表</w:t>
      </w:r>
    </w:p>
    <w:p w14:paraId="6F49DAD9">
      <w:pPr>
        <w:widowControl/>
        <w:shd w:val="clear" w:color="auto" w:fill="FFFFFF"/>
        <w:spacing w:line="360" w:lineRule="atLeast"/>
        <w:jc w:val="left"/>
        <w:rPr>
          <w:rFonts w:ascii="华文仿宋" w:hAnsi="华文仿宋" w:eastAsia="华文仿宋" w:cs="宋体"/>
          <w:color w:val="000000"/>
          <w:kern w:val="0"/>
          <w:sz w:val="24"/>
        </w:rPr>
      </w:pPr>
    </w:p>
    <w:p w14:paraId="783DE006">
      <w:pPr>
        <w:widowControl/>
        <w:shd w:val="clear" w:color="auto" w:fill="FFFFFF"/>
        <w:spacing w:line="360" w:lineRule="atLeast"/>
        <w:jc w:val="left"/>
        <w:rPr>
          <w:rFonts w:ascii="黑体" w:hAnsi="黑体" w:eastAsia="黑体" w:cs="宋体"/>
          <w:b/>
          <w:color w:val="FFFFFF" w:themeColor="background1"/>
          <w:kern w:val="0"/>
          <w:sz w:val="32"/>
          <w:szCs w:val="32"/>
          <w:highlight w:val="darkRed"/>
          <w:u w:val="double"/>
          <w14:textFill>
            <w14:solidFill>
              <w14:schemeClr w14:val="bg1"/>
            </w14:solidFill>
          </w14:textFill>
        </w:rPr>
      </w:pPr>
      <w:r>
        <w:rPr>
          <w:rFonts w:hint="eastAsia" w:ascii="黑体" w:hAnsi="黑体" w:eastAsia="黑体" w:cs="宋体"/>
          <w:b/>
          <w:color w:val="FFFFFF" w:themeColor="background1"/>
          <w:kern w:val="0"/>
          <w:sz w:val="32"/>
          <w:szCs w:val="32"/>
          <w:highlight w:val="darkRed"/>
          <w:u w:val="double"/>
          <w14:textFill>
            <w14:solidFill>
              <w14:schemeClr w14:val="bg1"/>
            </w14:solidFill>
          </w14:textFill>
        </w:rPr>
        <w:t xml:space="preserve"> 公司基本信息 </w:t>
      </w:r>
    </w:p>
    <w:p w14:paraId="179ED5C3">
      <w:pPr>
        <w:widowControl/>
        <w:shd w:val="clear" w:color="auto" w:fill="FFFFFF"/>
        <w:spacing w:line="360" w:lineRule="atLeast"/>
        <w:jc w:val="left"/>
        <w:rPr>
          <w:rFonts w:hint="eastAsia" w:ascii="微软雅黑" w:hAnsi="微软雅黑" w:eastAsia="微软雅黑" w:cs="宋体"/>
          <w:color w:val="000000"/>
          <w:kern w:val="0"/>
          <w:sz w:val="24"/>
          <w:u w:val="single"/>
          <w:lang w:val="en-US" w:eastAsia="zh-CN"/>
        </w:rPr>
      </w:pPr>
      <w:r>
        <w:rPr>
          <w:rFonts w:hint="eastAsia" w:ascii="微软雅黑" w:hAnsi="微软雅黑" w:eastAsia="微软雅黑" w:cs="宋体"/>
          <w:color w:val="000000"/>
          <w:kern w:val="0"/>
          <w:sz w:val="24"/>
        </w:rPr>
        <w:t>企业名称（中文）：</w:t>
      </w:r>
      <w:r>
        <w:rPr>
          <w:rFonts w:hint="eastAsia" w:ascii="微软雅黑" w:hAnsi="微软雅黑" w:eastAsia="微软雅黑" w:cs="宋体"/>
          <w:color w:val="000000"/>
          <w:kern w:val="0"/>
          <w:sz w:val="24"/>
          <w:u w:val="single"/>
        </w:rPr>
        <w:t xml:space="preserve">                                </w:t>
      </w:r>
      <w:r>
        <w:rPr>
          <w:rFonts w:ascii="微软雅黑" w:hAnsi="微软雅黑" w:eastAsia="微软雅黑" w:cs="宋体"/>
          <w:color w:val="000000"/>
          <w:kern w:val="0"/>
          <w:sz w:val="24"/>
          <w:u w:val="single"/>
        </w:rPr>
        <w:t xml:space="preserve">   </w:t>
      </w:r>
      <w:r>
        <w:rPr>
          <w:rFonts w:hint="eastAsia" w:ascii="微软雅黑" w:hAnsi="微软雅黑" w:eastAsia="微软雅黑" w:cs="宋体"/>
          <w:color w:val="000000"/>
          <w:kern w:val="0"/>
          <w:sz w:val="24"/>
          <w:u w:val="single"/>
        </w:rPr>
        <w:t xml:space="preserve">               </w:t>
      </w:r>
      <w:r>
        <w:rPr>
          <w:rFonts w:ascii="微软雅黑" w:hAnsi="微软雅黑" w:eastAsia="微软雅黑" w:cs="宋体"/>
          <w:color w:val="000000"/>
          <w:kern w:val="0"/>
          <w:sz w:val="24"/>
          <w:u w:val="single"/>
        </w:rPr>
        <w:t xml:space="preserve">                                             </w:t>
      </w:r>
      <w:r>
        <w:rPr>
          <w:rFonts w:hint="eastAsia" w:ascii="微软雅黑" w:hAnsi="微软雅黑" w:eastAsia="微软雅黑" w:cs="宋体"/>
          <w:color w:val="000000"/>
          <w:kern w:val="0"/>
          <w:sz w:val="24"/>
          <w:u w:val="single"/>
          <w:lang w:val="en-US" w:eastAsia="zh-CN"/>
        </w:rPr>
        <w:t xml:space="preserve"> </w:t>
      </w:r>
    </w:p>
    <w:p w14:paraId="13B662D4">
      <w:pPr>
        <w:widowControl/>
        <w:shd w:val="clear" w:color="auto" w:fill="FFFFFF"/>
        <w:spacing w:line="360" w:lineRule="atLeast"/>
        <w:jc w:val="left"/>
        <w:rPr>
          <w:rFonts w:hint="eastAsia" w:ascii="微软雅黑" w:hAnsi="微软雅黑" w:eastAsia="微软雅黑" w:cs="宋体"/>
          <w:color w:val="000000"/>
          <w:kern w:val="0"/>
          <w:sz w:val="24"/>
          <w:u w:val="single"/>
          <w:lang w:val="en-US" w:eastAsia="zh-CN"/>
        </w:rPr>
      </w:pPr>
      <w:r>
        <w:rPr>
          <w:rFonts w:hint="eastAsia" w:ascii="微软雅黑" w:hAnsi="微软雅黑" w:eastAsia="微软雅黑" w:cs="宋体"/>
          <w:color w:val="000000"/>
          <w:kern w:val="0"/>
          <w:sz w:val="24"/>
        </w:rPr>
        <w:t>地址（总部所在地）：</w:t>
      </w:r>
      <w:r>
        <w:rPr>
          <w:rFonts w:hint="eastAsia" w:ascii="微软雅黑" w:hAnsi="微软雅黑" w:eastAsia="微软雅黑" w:cs="宋体"/>
          <w:color w:val="000000"/>
          <w:kern w:val="0"/>
          <w:sz w:val="24"/>
          <w:u w:val="single"/>
        </w:rPr>
        <w:t xml:space="preserve">                                                       </w:t>
      </w:r>
      <w:r>
        <w:rPr>
          <w:rFonts w:ascii="微软雅黑" w:hAnsi="微软雅黑" w:eastAsia="微软雅黑" w:cs="宋体"/>
          <w:color w:val="000000"/>
          <w:kern w:val="0"/>
          <w:sz w:val="24"/>
          <w:u w:val="single"/>
        </w:rPr>
        <w:t xml:space="preserve">                               </w:t>
      </w:r>
      <w:r>
        <w:rPr>
          <w:rFonts w:hint="eastAsia" w:ascii="微软雅黑" w:hAnsi="微软雅黑" w:eastAsia="微软雅黑" w:cs="宋体"/>
          <w:color w:val="000000"/>
          <w:kern w:val="0"/>
          <w:sz w:val="24"/>
          <w:u w:val="single"/>
        </w:rPr>
        <w:t xml:space="preserve">       </w:t>
      </w:r>
      <w:r>
        <w:rPr>
          <w:rFonts w:hint="eastAsia" w:ascii="微软雅黑" w:hAnsi="微软雅黑" w:eastAsia="微软雅黑" w:cs="宋体"/>
          <w:color w:val="000000"/>
          <w:kern w:val="0"/>
          <w:sz w:val="24"/>
          <w:u w:val="single"/>
          <w:lang w:val="en-US" w:eastAsia="zh-CN"/>
        </w:rPr>
        <w:t xml:space="preserve"> </w:t>
      </w:r>
    </w:p>
    <w:p w14:paraId="5D89AC60">
      <w:pPr>
        <w:widowControl/>
        <w:shd w:val="clear" w:color="auto" w:fill="FFFFFF"/>
        <w:spacing w:line="360" w:lineRule="atLeast"/>
        <w:jc w:val="left"/>
        <w:rPr>
          <w:rFonts w:ascii="微软雅黑" w:hAnsi="微软雅黑" w:eastAsia="微软雅黑" w:cs="宋体"/>
          <w:color w:val="000000"/>
          <w:kern w:val="0"/>
          <w:sz w:val="24"/>
          <w:u w:val="single"/>
        </w:rPr>
      </w:pPr>
      <w:r>
        <w:rPr>
          <w:rFonts w:hint="eastAsia" w:ascii="微软雅黑" w:hAnsi="微软雅黑" w:eastAsia="微软雅黑" w:cs="宋体"/>
          <w:color w:val="000000"/>
          <w:kern w:val="0"/>
          <w:sz w:val="24"/>
        </w:rPr>
        <w:t>公司官网：</w:t>
      </w:r>
      <w:r>
        <w:rPr>
          <w:rFonts w:hint="eastAsia" w:ascii="微软雅黑" w:hAnsi="微软雅黑" w:eastAsia="微软雅黑" w:cs="宋体"/>
          <w:color w:val="000000"/>
          <w:kern w:val="0"/>
          <w:sz w:val="24"/>
          <w:u w:val="single"/>
        </w:rPr>
        <w:t xml:space="preserve">                       </w:t>
      </w:r>
      <w:r>
        <w:rPr>
          <w:rFonts w:hint="eastAsia" w:ascii="微软雅黑" w:hAnsi="微软雅黑" w:eastAsia="微软雅黑" w:cs="宋体"/>
          <w:color w:val="000000"/>
          <w:kern w:val="0"/>
          <w:sz w:val="24"/>
        </w:rPr>
        <w:t>官方微博</w:t>
      </w:r>
      <w:r>
        <w:rPr>
          <w:rFonts w:ascii="微软雅黑" w:hAnsi="微软雅黑" w:eastAsia="微软雅黑" w:cs="宋体"/>
          <w:color w:val="000000"/>
          <w:kern w:val="0"/>
          <w:sz w:val="24"/>
        </w:rPr>
        <w:t>：</w:t>
      </w:r>
      <w:r>
        <w:rPr>
          <w:rFonts w:hint="eastAsia" w:ascii="微软雅黑" w:hAnsi="微软雅黑" w:eastAsia="微软雅黑" w:cs="宋体"/>
          <w:color w:val="000000"/>
          <w:kern w:val="0"/>
          <w:sz w:val="24"/>
          <w:u w:val="single"/>
        </w:rPr>
        <w:t xml:space="preserve">    </w:t>
      </w:r>
      <w:r>
        <w:rPr>
          <w:rFonts w:ascii="微软雅黑" w:hAnsi="微软雅黑" w:eastAsia="微软雅黑" w:cs="宋体"/>
          <w:color w:val="000000"/>
          <w:kern w:val="0"/>
          <w:sz w:val="24"/>
          <w:u w:val="single"/>
        </w:rPr>
        <w:t xml:space="preserve">  </w:t>
      </w:r>
      <w:r>
        <w:rPr>
          <w:rFonts w:hint="eastAsia" w:ascii="微软雅黑" w:hAnsi="微软雅黑" w:eastAsia="微软雅黑" w:cs="宋体"/>
          <w:color w:val="000000"/>
          <w:kern w:val="0"/>
          <w:sz w:val="24"/>
          <w:u w:val="single"/>
        </w:rPr>
        <w:t xml:space="preserve">             </w:t>
      </w:r>
      <w:r>
        <w:rPr>
          <w:rFonts w:ascii="微软雅黑" w:hAnsi="微软雅黑" w:eastAsia="微软雅黑" w:cs="宋体"/>
          <w:color w:val="000000"/>
          <w:kern w:val="0"/>
          <w:sz w:val="24"/>
          <w:u w:val="single"/>
        </w:rPr>
        <w:t xml:space="preserve">         </w:t>
      </w:r>
      <w:r>
        <w:rPr>
          <w:rFonts w:hint="eastAsia" w:ascii="微软雅黑" w:hAnsi="微软雅黑" w:eastAsia="微软雅黑" w:cs="宋体"/>
          <w:color w:val="000000"/>
          <w:kern w:val="0"/>
          <w:sz w:val="24"/>
          <w:u w:val="single"/>
        </w:rPr>
        <w:t xml:space="preserve"> </w:t>
      </w:r>
      <w:r>
        <w:rPr>
          <w:rFonts w:ascii="微软雅黑" w:hAnsi="微软雅黑" w:eastAsia="微软雅黑" w:cs="宋体"/>
          <w:color w:val="000000"/>
          <w:kern w:val="0"/>
          <w:sz w:val="24"/>
          <w:u w:val="single"/>
        </w:rPr>
        <w:t xml:space="preserve">      </w:t>
      </w:r>
      <w:r>
        <w:rPr>
          <w:rFonts w:hint="eastAsia" w:ascii="微软雅黑" w:hAnsi="微软雅黑" w:eastAsia="微软雅黑" w:cs="宋体"/>
          <w:color w:val="000000"/>
          <w:kern w:val="0"/>
          <w:sz w:val="24"/>
        </w:rPr>
        <w:t>官方微信</w:t>
      </w:r>
      <w:r>
        <w:rPr>
          <w:rFonts w:ascii="微软雅黑" w:hAnsi="微软雅黑" w:eastAsia="微软雅黑" w:cs="宋体"/>
          <w:color w:val="000000"/>
          <w:kern w:val="0"/>
          <w:sz w:val="24"/>
        </w:rPr>
        <w:t>：</w:t>
      </w:r>
      <w:r>
        <w:rPr>
          <w:rFonts w:hint="eastAsia" w:ascii="微软雅黑" w:hAnsi="微软雅黑" w:eastAsia="微软雅黑" w:cs="宋体"/>
          <w:color w:val="000000"/>
          <w:kern w:val="0"/>
          <w:sz w:val="24"/>
          <w:u w:val="single"/>
        </w:rPr>
        <w:t xml:space="preserve">                          </w:t>
      </w:r>
    </w:p>
    <w:p w14:paraId="10B98F3F">
      <w:pPr>
        <w:widowControl/>
        <w:shd w:val="clear" w:color="auto" w:fill="FFFFFF"/>
        <w:spacing w:line="360" w:lineRule="atLeast"/>
        <w:jc w:val="left"/>
        <w:rPr>
          <w:rFonts w:ascii="微软雅黑" w:hAnsi="微软雅黑" w:eastAsia="微软雅黑" w:cs="宋体"/>
          <w:color w:val="000000"/>
          <w:kern w:val="0"/>
          <w:sz w:val="24"/>
        </w:rPr>
      </w:pPr>
      <w:r>
        <w:rPr>
          <w:rFonts w:hint="eastAsia" w:ascii="微软雅黑" w:hAnsi="微软雅黑" w:eastAsia="微软雅黑" w:cs="宋体"/>
          <w:color w:val="000000"/>
          <w:kern w:val="0"/>
          <w:sz w:val="24"/>
        </w:rPr>
        <w:t>姓　　</w:t>
      </w:r>
      <w:r>
        <w:rPr>
          <w:rFonts w:ascii="微软雅黑" w:hAnsi="微软雅黑" w:eastAsia="微软雅黑" w:cs="宋体"/>
          <w:color w:val="000000"/>
          <w:kern w:val="0"/>
          <w:sz w:val="24"/>
        </w:rPr>
        <w:t>名</w:t>
      </w:r>
      <w:r>
        <w:rPr>
          <w:rFonts w:hint="eastAsia" w:ascii="微软雅黑" w:hAnsi="微软雅黑" w:eastAsia="微软雅黑" w:cs="宋体"/>
          <w:color w:val="000000"/>
          <w:kern w:val="0"/>
          <w:sz w:val="24"/>
        </w:rPr>
        <w:t>：</w:t>
      </w:r>
      <w:r>
        <w:rPr>
          <w:rFonts w:hint="eastAsia" w:ascii="微软雅黑" w:hAnsi="微软雅黑" w:eastAsia="微软雅黑" w:cs="宋体"/>
          <w:color w:val="000000"/>
          <w:kern w:val="0"/>
          <w:sz w:val="24"/>
          <w:u w:val="single"/>
        </w:rPr>
        <w:t xml:space="preserve">          </w:t>
      </w:r>
      <w:r>
        <w:rPr>
          <w:rFonts w:ascii="微软雅黑" w:hAnsi="微软雅黑" w:eastAsia="微软雅黑" w:cs="宋体"/>
          <w:color w:val="000000"/>
          <w:kern w:val="0"/>
          <w:sz w:val="24"/>
          <w:u w:val="single"/>
        </w:rPr>
        <w:t xml:space="preserve">   </w:t>
      </w:r>
      <w:r>
        <w:rPr>
          <w:rFonts w:hint="eastAsia" w:ascii="微软雅黑" w:hAnsi="微软雅黑" w:eastAsia="微软雅黑" w:cs="宋体"/>
          <w:color w:val="000000"/>
          <w:kern w:val="0"/>
          <w:sz w:val="24"/>
          <w:u w:val="single"/>
        </w:rPr>
        <w:t xml:space="preserve">   </w:t>
      </w:r>
      <w:r>
        <w:rPr>
          <w:rFonts w:ascii="微软雅黑" w:hAnsi="微软雅黑" w:eastAsia="微软雅黑" w:cs="宋体"/>
          <w:color w:val="000000"/>
          <w:kern w:val="0"/>
          <w:sz w:val="24"/>
          <w:u w:val="single"/>
        </w:rPr>
        <w:t xml:space="preserve">       </w:t>
      </w:r>
      <w:r>
        <w:rPr>
          <w:rFonts w:hint="eastAsia" w:ascii="微软雅黑" w:hAnsi="微软雅黑" w:eastAsia="微软雅黑" w:cs="宋体"/>
          <w:color w:val="000000"/>
          <w:kern w:val="0"/>
          <w:sz w:val="24"/>
        </w:rPr>
        <w:t>职　　位：</w:t>
      </w:r>
      <w:r>
        <w:rPr>
          <w:rFonts w:hint="eastAsia" w:ascii="微软雅黑" w:hAnsi="微软雅黑" w:eastAsia="微软雅黑" w:cs="宋体"/>
          <w:color w:val="000000"/>
          <w:kern w:val="0"/>
          <w:sz w:val="24"/>
          <w:u w:val="single"/>
        </w:rPr>
        <w:t xml:space="preserve">                           </w:t>
      </w:r>
      <w:r>
        <w:rPr>
          <w:rFonts w:ascii="微软雅黑" w:hAnsi="微软雅黑" w:eastAsia="微软雅黑" w:cs="宋体"/>
          <w:color w:val="000000"/>
          <w:kern w:val="0"/>
          <w:sz w:val="24"/>
          <w:u w:val="single"/>
        </w:rPr>
        <w:t xml:space="preserve">        </w:t>
      </w:r>
      <w:r>
        <w:rPr>
          <w:rFonts w:hint="eastAsia" w:ascii="微软雅黑" w:hAnsi="微软雅黑" w:eastAsia="微软雅黑" w:cs="宋体"/>
          <w:color w:val="000000"/>
          <w:kern w:val="0"/>
          <w:sz w:val="24"/>
        </w:rPr>
        <w:t>办公</w:t>
      </w:r>
      <w:r>
        <w:rPr>
          <w:rFonts w:ascii="微软雅黑" w:hAnsi="微软雅黑" w:eastAsia="微软雅黑" w:cs="宋体"/>
          <w:color w:val="000000"/>
          <w:kern w:val="0"/>
          <w:sz w:val="24"/>
        </w:rPr>
        <w:t>电话</w:t>
      </w:r>
      <w:r>
        <w:rPr>
          <w:rFonts w:hint="eastAsia" w:ascii="微软雅黑" w:hAnsi="微软雅黑" w:eastAsia="微软雅黑" w:cs="宋体"/>
          <w:color w:val="000000"/>
          <w:kern w:val="0"/>
          <w:sz w:val="24"/>
        </w:rPr>
        <w:t>：</w:t>
      </w:r>
      <w:r>
        <w:rPr>
          <w:rFonts w:hint="eastAsia" w:ascii="微软雅黑" w:hAnsi="微软雅黑" w:eastAsia="微软雅黑" w:cs="宋体"/>
          <w:color w:val="000000"/>
          <w:kern w:val="0"/>
          <w:sz w:val="24"/>
          <w:u w:val="single"/>
        </w:rPr>
        <w:t xml:space="preserve">                        </w:t>
      </w:r>
      <w:r>
        <w:rPr>
          <w:rFonts w:ascii="微软雅黑" w:hAnsi="微软雅黑" w:eastAsia="微软雅黑" w:cs="宋体"/>
          <w:color w:val="000000"/>
          <w:kern w:val="0"/>
          <w:sz w:val="24"/>
          <w:u w:val="single"/>
        </w:rPr>
        <w:t xml:space="preserve">  </w:t>
      </w:r>
    </w:p>
    <w:p w14:paraId="3F372053">
      <w:pPr>
        <w:widowControl/>
        <w:shd w:val="clear" w:color="auto" w:fill="FFFFFF"/>
        <w:spacing w:line="360" w:lineRule="atLeast"/>
        <w:jc w:val="left"/>
        <w:rPr>
          <w:rFonts w:ascii="微软雅黑" w:hAnsi="微软雅黑" w:eastAsia="微软雅黑" w:cs="宋体"/>
          <w:color w:val="000000"/>
          <w:kern w:val="0"/>
          <w:sz w:val="24"/>
        </w:rPr>
      </w:pPr>
      <w:r>
        <w:rPr>
          <w:rFonts w:hint="eastAsia" w:ascii="微软雅黑" w:hAnsi="微软雅黑" w:eastAsia="微软雅黑" w:cs="宋体"/>
          <w:color w:val="000000"/>
          <w:kern w:val="0"/>
          <w:sz w:val="24"/>
        </w:rPr>
        <w:t>手　　机：</w:t>
      </w:r>
      <w:r>
        <w:rPr>
          <w:rFonts w:hint="eastAsia" w:ascii="微软雅黑" w:hAnsi="微软雅黑" w:eastAsia="微软雅黑" w:cs="宋体"/>
          <w:color w:val="000000"/>
          <w:kern w:val="0"/>
          <w:sz w:val="24"/>
          <w:u w:val="single"/>
        </w:rPr>
        <w:t xml:space="preserve">  　　　　　    </w:t>
      </w:r>
      <w:r>
        <w:rPr>
          <w:rFonts w:ascii="微软雅黑" w:hAnsi="微软雅黑" w:eastAsia="微软雅黑" w:cs="宋体"/>
          <w:color w:val="000000"/>
          <w:kern w:val="0"/>
          <w:sz w:val="24"/>
          <w:u w:val="single"/>
        </w:rPr>
        <w:t xml:space="preserve">     </w:t>
      </w:r>
      <w:r>
        <w:rPr>
          <w:rFonts w:hint="eastAsia" w:ascii="微软雅黑" w:hAnsi="微软雅黑" w:eastAsia="微软雅黑" w:cs="宋体"/>
          <w:color w:val="000000"/>
          <w:kern w:val="0"/>
          <w:sz w:val="24"/>
          <w:u w:val="single"/>
        </w:rPr>
        <w:t xml:space="preserve"> </w:t>
      </w:r>
      <w:r>
        <w:rPr>
          <w:rFonts w:hint="eastAsia" w:ascii="微软雅黑" w:hAnsi="微软雅黑" w:eastAsia="微软雅黑" w:cs="宋体"/>
          <w:color w:val="000000"/>
          <w:kern w:val="0"/>
          <w:sz w:val="24"/>
        </w:rPr>
        <w:t xml:space="preserve"> </w:t>
      </w:r>
      <w:r>
        <w:rPr>
          <w:rFonts w:ascii="微软雅黑" w:hAnsi="微软雅黑" w:eastAsia="微软雅黑" w:cs="宋体"/>
          <w:color w:val="000000"/>
          <w:kern w:val="0"/>
          <w:sz w:val="24"/>
        </w:rPr>
        <w:t xml:space="preserve"> Email</w:t>
      </w:r>
      <w:r>
        <w:rPr>
          <w:rFonts w:hint="eastAsia" w:ascii="微软雅黑" w:hAnsi="微软雅黑" w:eastAsia="微软雅黑" w:cs="宋体"/>
          <w:color w:val="000000"/>
          <w:kern w:val="0"/>
          <w:sz w:val="24"/>
        </w:rPr>
        <w:t>：</w:t>
      </w:r>
      <w:r>
        <w:rPr>
          <w:rFonts w:hint="eastAsia" w:ascii="微软雅黑" w:hAnsi="微软雅黑" w:eastAsia="微软雅黑" w:cs="宋体"/>
          <w:color w:val="000000"/>
          <w:kern w:val="0"/>
          <w:sz w:val="24"/>
          <w:u w:val="single"/>
        </w:rPr>
        <w:t xml:space="preserve">         　　　　　　　           </w:t>
      </w:r>
      <w:r>
        <w:rPr>
          <w:rFonts w:hint="eastAsia" w:ascii="微软雅黑" w:hAnsi="微软雅黑" w:eastAsia="微软雅黑" w:cs="宋体"/>
          <w:color w:val="000000"/>
          <w:kern w:val="0"/>
          <w:sz w:val="24"/>
          <w:u w:val="single"/>
          <w:lang w:val="en-US" w:eastAsia="zh-CN"/>
        </w:rPr>
        <w:t xml:space="preserve">  </w:t>
      </w:r>
      <w:r>
        <w:rPr>
          <w:rFonts w:ascii="微软雅黑" w:hAnsi="微软雅黑" w:eastAsia="微软雅黑" w:cs="宋体"/>
          <w:color w:val="000000"/>
          <w:kern w:val="0"/>
          <w:sz w:val="24"/>
        </w:rPr>
        <w:t xml:space="preserve"> </w:t>
      </w:r>
      <w:r>
        <w:rPr>
          <w:rFonts w:hint="eastAsia" w:ascii="微软雅黑" w:hAnsi="微软雅黑" w:eastAsia="微软雅黑" w:cs="宋体"/>
          <w:color w:val="000000"/>
          <w:kern w:val="0"/>
          <w:sz w:val="24"/>
        </w:rPr>
        <w:t>传　　真：</w:t>
      </w:r>
      <w:r>
        <w:rPr>
          <w:rFonts w:hint="eastAsia" w:ascii="微软雅黑" w:hAnsi="微软雅黑" w:eastAsia="微软雅黑" w:cs="宋体"/>
          <w:color w:val="000000"/>
          <w:kern w:val="0"/>
          <w:sz w:val="24"/>
          <w:u w:val="single"/>
        </w:rPr>
        <w:t xml:space="preserve">         </w:t>
      </w:r>
      <w:r>
        <w:rPr>
          <w:rFonts w:ascii="微软雅黑" w:hAnsi="微软雅黑" w:eastAsia="微软雅黑" w:cs="宋体"/>
          <w:color w:val="000000"/>
          <w:kern w:val="0"/>
          <w:sz w:val="24"/>
          <w:u w:val="single"/>
        </w:rPr>
        <w:t xml:space="preserve">             </w:t>
      </w:r>
      <w:r>
        <w:rPr>
          <w:rFonts w:hint="eastAsia" w:ascii="微软雅黑" w:hAnsi="微软雅黑" w:eastAsia="微软雅黑" w:cs="宋体"/>
          <w:color w:val="000000"/>
          <w:kern w:val="0"/>
          <w:sz w:val="24"/>
          <w:u w:val="single"/>
        </w:rPr>
        <w:t xml:space="preserve"> </w:t>
      </w:r>
      <w:r>
        <w:rPr>
          <w:rFonts w:hint="eastAsia" w:ascii="微软雅黑" w:hAnsi="微软雅黑" w:eastAsia="微软雅黑" w:cs="宋体"/>
          <w:color w:val="000000"/>
          <w:kern w:val="0"/>
          <w:sz w:val="24"/>
          <w:u w:val="single"/>
          <w:lang w:val="en-US" w:eastAsia="zh-CN"/>
        </w:rPr>
        <w:t xml:space="preserve">   </w:t>
      </w:r>
      <w:r>
        <w:rPr>
          <w:rFonts w:hint="eastAsia" w:ascii="微软雅黑" w:hAnsi="微软雅黑" w:eastAsia="微软雅黑" w:cs="宋体"/>
          <w:color w:val="000000"/>
          <w:kern w:val="0"/>
          <w:sz w:val="24"/>
        </w:rPr>
        <w:t xml:space="preserve"> </w:t>
      </w:r>
    </w:p>
    <w:p w14:paraId="7412933E">
      <w:pPr>
        <w:widowControl/>
        <w:shd w:val="clear" w:color="auto" w:fill="FFFFFF"/>
        <w:spacing w:line="360" w:lineRule="atLeast"/>
        <w:jc w:val="left"/>
        <w:rPr>
          <w:rFonts w:ascii="华文仿宋" w:hAnsi="华文仿宋" w:eastAsia="华文仿宋" w:cs="宋体"/>
          <w:color w:val="000000"/>
          <w:kern w:val="0"/>
          <w:sz w:val="24"/>
          <w:u w:val="single"/>
        </w:rPr>
      </w:pPr>
    </w:p>
    <w:p w14:paraId="3B181C6C">
      <w:pPr>
        <w:widowControl/>
        <w:shd w:val="clear" w:color="auto" w:fill="FFFFFF"/>
        <w:spacing w:line="360" w:lineRule="atLeast"/>
        <w:jc w:val="left"/>
        <w:rPr>
          <w:rFonts w:ascii="黑体" w:hAnsi="黑体" w:eastAsia="黑体" w:cs="宋体"/>
          <w:b/>
          <w:color w:val="FFFFFF" w:themeColor="background1"/>
          <w:kern w:val="0"/>
          <w:sz w:val="32"/>
          <w:szCs w:val="32"/>
          <w:highlight w:val="darkRed"/>
          <w:u w:val="double"/>
          <w14:textFill>
            <w14:solidFill>
              <w14:schemeClr w14:val="bg1"/>
            </w14:solidFill>
          </w14:textFill>
        </w:rPr>
      </w:pPr>
      <w:r>
        <w:rPr>
          <w:rFonts w:hint="eastAsia" w:ascii="黑体" w:hAnsi="黑体" w:eastAsia="黑体" w:cs="宋体"/>
          <w:b/>
          <w:color w:val="FFFFFF" w:themeColor="background1"/>
          <w:kern w:val="0"/>
          <w:sz w:val="32"/>
          <w:szCs w:val="32"/>
          <w:highlight w:val="darkRed"/>
          <w:u w:val="double"/>
          <w14:textFill>
            <w14:solidFill>
              <w14:schemeClr w14:val="bg1"/>
            </w14:solidFill>
          </w14:textFill>
        </w:rPr>
        <w:t>参评项目</w:t>
      </w:r>
      <w:r>
        <w:rPr>
          <w:rFonts w:ascii="黑体" w:hAnsi="黑体" w:eastAsia="黑体" w:cs="宋体"/>
          <w:b/>
          <w:color w:val="FFFFFF" w:themeColor="background1"/>
          <w:kern w:val="0"/>
          <w:sz w:val="32"/>
          <w:szCs w:val="32"/>
          <w:highlight w:val="darkRed"/>
          <w:u w:val="double"/>
          <w14:textFill>
            <w14:solidFill>
              <w14:schemeClr w14:val="bg1"/>
            </w14:solidFill>
          </w14:textFill>
        </w:rPr>
        <w:t>申</w:t>
      </w:r>
      <w:r>
        <w:rPr>
          <w:rFonts w:hint="eastAsia" w:ascii="黑体" w:hAnsi="黑体" w:eastAsia="黑体" w:cs="宋体"/>
          <w:b/>
          <w:color w:val="FFFFFF" w:themeColor="background1"/>
          <w:kern w:val="0"/>
          <w:sz w:val="32"/>
          <w:szCs w:val="32"/>
          <w:highlight w:val="darkRed"/>
          <w:u w:val="double"/>
          <w14:textFill>
            <w14:solidFill>
              <w14:schemeClr w14:val="bg1"/>
            </w14:solidFill>
          </w14:textFill>
        </w:rPr>
        <w:t xml:space="preserve">报 </w:t>
      </w:r>
    </w:p>
    <w:p w14:paraId="0B24C01B">
      <w:pPr>
        <w:rPr>
          <w:rFonts w:ascii="微软雅黑" w:hAnsi="微软雅黑" w:eastAsia="微软雅黑"/>
          <w:sz w:val="24"/>
        </w:rPr>
      </w:pPr>
      <w:r>
        <w:rPr>
          <w:rFonts w:hint="eastAsia" w:ascii="微软雅黑" w:hAnsi="微软雅黑" w:eastAsia="微软雅黑"/>
          <w:sz w:val="24"/>
        </w:rPr>
        <w:t>申报奖项</w:t>
      </w:r>
      <w:r>
        <w:rPr>
          <w:rFonts w:ascii="微软雅黑" w:hAnsi="微软雅黑" w:eastAsia="微软雅黑"/>
          <w:sz w:val="24"/>
        </w:rPr>
        <w:t xml:space="preserve">名称 </w:t>
      </w:r>
      <w:r>
        <w:rPr>
          <w:rFonts w:hint="eastAsia" w:ascii="微软雅黑" w:hAnsi="微软雅黑" w:eastAsia="微软雅黑"/>
          <w:sz w:val="24"/>
        </w:rPr>
        <w:t>：</w:t>
      </w:r>
      <w:r>
        <w:rPr>
          <w:rFonts w:hint="eastAsia" w:ascii="微软雅黑" w:hAnsi="微软雅黑" w:eastAsia="微软雅黑" w:cs="宋体"/>
          <w:color w:val="000000"/>
          <w:kern w:val="0"/>
          <w:sz w:val="24"/>
          <w:szCs w:val="21"/>
        </w:rPr>
        <w:t xml:space="preserve"> </w:t>
      </w:r>
    </w:p>
    <w:p w14:paraId="339F7F80">
      <w:pPr>
        <w:rPr>
          <w:rFonts w:ascii="微软雅黑" w:hAnsi="微软雅黑" w:eastAsia="微软雅黑"/>
          <w:sz w:val="24"/>
        </w:rPr>
      </w:pPr>
      <w:r>
        <w:rPr>
          <w:rFonts w:hint="eastAsia" w:ascii="微软雅黑" w:hAnsi="微软雅黑" w:eastAsia="微软雅黑"/>
          <w:sz w:val="24"/>
        </w:rPr>
        <w:t>参评理由（中文500字以内）：</w:t>
      </w:r>
    </w:p>
    <w:p w14:paraId="189C8E19">
      <w:pPr>
        <w:rPr>
          <w:rFonts w:ascii="微软雅黑" w:hAnsi="微软雅黑" w:eastAsia="微软雅黑"/>
          <w:sz w:val="24"/>
        </w:rPr>
      </w:pPr>
    </w:p>
    <w:p w14:paraId="5053AD18">
      <w:pPr>
        <w:rPr>
          <w:rFonts w:ascii="微软雅黑" w:hAnsi="微软雅黑" w:eastAsia="微软雅黑"/>
          <w:sz w:val="24"/>
        </w:rPr>
      </w:pPr>
      <w:r>
        <w:rPr>
          <w:rFonts w:hint="eastAsia" w:ascii="微软雅黑" w:hAnsi="微软雅黑" w:eastAsia="微软雅黑"/>
          <w:sz w:val="24"/>
        </w:rPr>
        <w:t>项目图</w:t>
      </w:r>
      <w:r>
        <w:rPr>
          <w:rFonts w:ascii="微软雅黑" w:hAnsi="微软雅黑" w:eastAsia="微软雅黑"/>
          <w:sz w:val="24"/>
        </w:rPr>
        <w:t>片</w:t>
      </w:r>
      <w:r>
        <w:rPr>
          <w:rFonts w:hint="eastAsia" w:ascii="微软雅黑" w:hAnsi="微软雅黑" w:eastAsia="微软雅黑"/>
          <w:sz w:val="24"/>
        </w:rPr>
        <w:t>（</w:t>
      </w:r>
      <w:r>
        <w:rPr>
          <w:rFonts w:ascii="微软雅黑" w:hAnsi="微软雅黑" w:eastAsia="微软雅黑"/>
          <w:sz w:val="24"/>
        </w:rPr>
        <w:t>请提交与所申</w:t>
      </w:r>
      <w:r>
        <w:rPr>
          <w:rFonts w:hint="eastAsia" w:ascii="微软雅黑" w:hAnsi="微软雅黑" w:eastAsia="微软雅黑"/>
          <w:sz w:val="24"/>
        </w:rPr>
        <w:t>报</w:t>
      </w:r>
      <w:r>
        <w:rPr>
          <w:rFonts w:ascii="微软雅黑" w:hAnsi="微软雅黑" w:eastAsia="微软雅黑"/>
          <w:sz w:val="24"/>
        </w:rPr>
        <w:t>奖项相关</w:t>
      </w:r>
      <w:r>
        <w:rPr>
          <w:rFonts w:hint="eastAsia" w:ascii="微软雅黑" w:hAnsi="微软雅黑" w:eastAsia="微软雅黑"/>
          <w:sz w:val="24"/>
        </w:rPr>
        <w:t>现场</w:t>
      </w:r>
      <w:r>
        <w:rPr>
          <w:rFonts w:ascii="微软雅黑" w:hAnsi="微软雅黑" w:eastAsia="微软雅黑"/>
          <w:sz w:val="24"/>
        </w:rPr>
        <w:t>图片、</w:t>
      </w:r>
      <w:r>
        <w:rPr>
          <w:rFonts w:hint="eastAsia" w:ascii="微软雅黑" w:hAnsi="微软雅黑" w:eastAsia="微软雅黑"/>
          <w:sz w:val="24"/>
        </w:rPr>
        <w:t>产</w:t>
      </w:r>
      <w:r>
        <w:rPr>
          <w:rFonts w:ascii="微软雅黑" w:hAnsi="微软雅黑" w:eastAsia="微软雅黑"/>
          <w:sz w:val="24"/>
        </w:rPr>
        <w:t>品模型</w:t>
      </w:r>
      <w:r>
        <w:rPr>
          <w:rFonts w:hint="eastAsia" w:ascii="微软雅黑" w:hAnsi="微软雅黑" w:eastAsia="微软雅黑"/>
          <w:sz w:val="24"/>
        </w:rPr>
        <w:t>等，至少</w:t>
      </w:r>
      <w:r>
        <w:rPr>
          <w:rFonts w:ascii="微软雅黑" w:hAnsi="微软雅黑" w:eastAsia="微软雅黑"/>
          <w:sz w:val="24"/>
        </w:rPr>
        <w:t>一张</w:t>
      </w:r>
      <w:r>
        <w:rPr>
          <w:rFonts w:hint="eastAsia" w:ascii="微软雅黑" w:hAnsi="微软雅黑" w:eastAsia="微软雅黑"/>
          <w:sz w:val="24"/>
        </w:rPr>
        <w:t>）</w:t>
      </w:r>
    </w:p>
    <w:p w14:paraId="168348D0">
      <w:pPr>
        <w:widowControl/>
        <w:shd w:val="clear" w:color="auto" w:fill="FFFFFF"/>
        <w:spacing w:line="360" w:lineRule="atLeast"/>
        <w:jc w:val="left"/>
        <w:rPr>
          <w:rFonts w:ascii="微软雅黑" w:hAnsi="微软雅黑" w:eastAsia="微软雅黑"/>
          <w:color w:val="FF0000"/>
          <w:sz w:val="24"/>
        </w:rPr>
      </w:pPr>
      <w:r>
        <w:rPr>
          <w:rFonts w:hint="eastAsia" w:ascii="微软雅黑" w:hAnsi="微软雅黑" w:eastAsia="微软雅黑" w:cs="宋体"/>
          <w:color w:val="000000"/>
          <w:kern w:val="0"/>
          <w:sz w:val="24"/>
        </w:rPr>
        <w:t>附</w:t>
      </w:r>
      <w:r>
        <w:rPr>
          <w:rFonts w:ascii="微软雅黑" w:hAnsi="微软雅黑" w:eastAsia="微软雅黑" w:cs="宋体"/>
          <w:color w:val="000000"/>
          <w:kern w:val="0"/>
          <w:sz w:val="24"/>
        </w:rPr>
        <w:t>：</w:t>
      </w:r>
      <w:r>
        <w:rPr>
          <w:rFonts w:hint="eastAsia" w:ascii="微软雅黑" w:hAnsi="微软雅黑" w:eastAsia="微软雅黑" w:cs="宋体"/>
          <w:color w:val="000000"/>
          <w:kern w:val="0"/>
          <w:sz w:val="24"/>
        </w:rPr>
        <w:t>公司logo（请</w:t>
      </w:r>
      <w:r>
        <w:rPr>
          <w:rFonts w:ascii="微软雅黑" w:hAnsi="微软雅黑" w:eastAsia="微软雅黑" w:cs="宋体"/>
          <w:color w:val="000000"/>
          <w:kern w:val="0"/>
          <w:sz w:val="24"/>
        </w:rPr>
        <w:t>提交矢量文件</w:t>
      </w:r>
      <w:r>
        <w:rPr>
          <w:rFonts w:hint="eastAsia" w:ascii="微软雅黑" w:hAnsi="微软雅黑" w:eastAsia="微软雅黑" w:cs="宋体"/>
          <w:color w:val="000000"/>
          <w:kern w:val="0"/>
          <w:sz w:val="24"/>
        </w:rPr>
        <w:t>）</w:t>
      </w:r>
    </w:p>
    <w:p w14:paraId="6CC82A68">
      <w:pPr>
        <w:rPr>
          <w:rFonts w:ascii="微软雅黑" w:hAnsi="微软雅黑" w:eastAsia="微软雅黑" w:cs="宋体"/>
          <w:color w:val="000000"/>
          <w:kern w:val="0"/>
          <w:sz w:val="24"/>
        </w:rPr>
      </w:pPr>
      <w:r>
        <w:rPr>
          <w:rFonts w:hint="eastAsia" w:ascii="微软雅黑" w:hAnsi="微软雅黑" w:eastAsia="微软雅黑" w:cs="宋体"/>
          <w:color w:val="000000"/>
          <w:kern w:val="0"/>
          <w:sz w:val="24"/>
        </w:rPr>
        <w:t>申报说明</w:t>
      </w:r>
      <w:r>
        <w:rPr>
          <w:rFonts w:ascii="微软雅黑" w:hAnsi="微软雅黑" w:eastAsia="微软雅黑" w:cs="宋体"/>
          <w:color w:val="000000"/>
          <w:kern w:val="0"/>
          <w:sz w:val="24"/>
        </w:rPr>
        <w:t>：</w:t>
      </w:r>
    </w:p>
    <w:tbl>
      <w:tblPr>
        <w:tblStyle w:val="6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76"/>
        <w:gridCol w:w="11511"/>
      </w:tblGrid>
      <w:tr w14:paraId="09F1098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87" w:type="dxa"/>
            <w:gridSpan w:val="2"/>
            <w:shd w:val="clear" w:color="auto" w:fill="C00000"/>
          </w:tcPr>
          <w:p w14:paraId="23E579DC">
            <w:pPr>
              <w:jc w:val="center"/>
              <w:rPr>
                <w:rFonts w:ascii="黑体" w:hAnsi="黑体" w:eastAsia="黑体" w:cs="宋体"/>
                <w:color w:val="FFFFFF" w:themeColor="background1"/>
                <w:kern w:val="0"/>
                <w:sz w:val="36"/>
                <w:szCs w:val="3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hint="eastAsia" w:ascii="黑体" w:hAnsi="黑体" w:eastAsia="黑体" w:cs="宋体"/>
                <w:color w:val="FFFFFF" w:themeColor="background1"/>
                <w:kern w:val="0"/>
                <w:sz w:val="36"/>
                <w:szCs w:val="36"/>
                <w14:textFill>
                  <w14:solidFill>
                    <w14:schemeClr w14:val="bg1"/>
                  </w14:solidFill>
                </w14:textFill>
              </w:rPr>
              <w:t>项目推荐表</w:t>
            </w:r>
          </w:p>
        </w:tc>
      </w:tr>
      <w:tr w14:paraId="7A331A7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6" w:type="dxa"/>
          </w:tcPr>
          <w:p w14:paraId="7D3926A6">
            <w:pPr>
              <w:rPr>
                <w:rFonts w:ascii="微软雅黑" w:hAnsi="微软雅黑" w:eastAsia="微软雅黑" w:cs="宋体"/>
                <w:color w:val="000000"/>
                <w:kern w:val="0"/>
                <w:sz w:val="24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4"/>
              </w:rPr>
              <w:t>企业</w:t>
            </w:r>
            <w:r>
              <w:rPr>
                <w:rFonts w:ascii="微软雅黑" w:hAnsi="微软雅黑" w:eastAsia="微软雅黑" w:cs="宋体"/>
                <w:color w:val="000000"/>
                <w:kern w:val="0"/>
                <w:sz w:val="24"/>
              </w:rPr>
              <w:t>名称</w:t>
            </w:r>
          </w:p>
        </w:tc>
        <w:tc>
          <w:tcPr>
            <w:tcW w:w="11511" w:type="dxa"/>
          </w:tcPr>
          <w:p w14:paraId="3052B6E2">
            <w:pPr>
              <w:rPr>
                <w:rFonts w:ascii="微软雅黑" w:hAnsi="微软雅黑" w:eastAsia="微软雅黑" w:cs="宋体"/>
                <w:color w:val="000000"/>
                <w:kern w:val="0"/>
                <w:sz w:val="24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4"/>
              </w:rPr>
              <w:t xml:space="preserve"> </w:t>
            </w:r>
          </w:p>
        </w:tc>
      </w:tr>
      <w:tr w14:paraId="1BF41AB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6" w:type="dxa"/>
          </w:tcPr>
          <w:p w14:paraId="2F8C7C9B">
            <w:pPr>
              <w:rPr>
                <w:rFonts w:ascii="微软雅黑" w:hAnsi="微软雅黑" w:eastAsia="微软雅黑" w:cs="宋体"/>
                <w:color w:val="000000"/>
                <w:kern w:val="0"/>
                <w:sz w:val="24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4"/>
              </w:rPr>
              <w:t>项目</w:t>
            </w:r>
            <w:r>
              <w:rPr>
                <w:rFonts w:ascii="微软雅黑" w:hAnsi="微软雅黑" w:eastAsia="微软雅黑" w:cs="宋体"/>
                <w:color w:val="000000"/>
                <w:kern w:val="0"/>
                <w:sz w:val="24"/>
              </w:rPr>
              <w:t>全称</w:t>
            </w:r>
          </w:p>
        </w:tc>
        <w:tc>
          <w:tcPr>
            <w:tcW w:w="11511" w:type="dxa"/>
          </w:tcPr>
          <w:p w14:paraId="2E892618">
            <w:pPr>
              <w:rPr>
                <w:rFonts w:ascii="微软雅黑" w:hAnsi="微软雅黑" w:eastAsia="微软雅黑" w:cs="宋体"/>
                <w:color w:val="000000"/>
                <w:kern w:val="0"/>
                <w:sz w:val="24"/>
              </w:rPr>
            </w:pPr>
          </w:p>
        </w:tc>
      </w:tr>
      <w:tr w14:paraId="08D93F93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6" w:type="dxa"/>
          </w:tcPr>
          <w:p w14:paraId="00500A26">
            <w:pPr>
              <w:rPr>
                <w:rFonts w:ascii="微软雅黑" w:hAnsi="微软雅黑" w:eastAsia="微软雅黑" w:cs="宋体"/>
                <w:color w:val="000000"/>
                <w:kern w:val="0"/>
                <w:sz w:val="24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4"/>
              </w:rPr>
              <w:t>项目</w:t>
            </w:r>
            <w:r>
              <w:rPr>
                <w:rFonts w:ascii="微软雅黑" w:hAnsi="微软雅黑" w:eastAsia="微软雅黑" w:cs="宋体"/>
                <w:color w:val="000000"/>
                <w:kern w:val="0"/>
                <w:sz w:val="24"/>
              </w:rPr>
              <w:t>日期</w:t>
            </w:r>
          </w:p>
        </w:tc>
        <w:tc>
          <w:tcPr>
            <w:tcW w:w="11511" w:type="dxa"/>
          </w:tcPr>
          <w:p w14:paraId="5F3D0277">
            <w:pPr>
              <w:rPr>
                <w:rFonts w:ascii="微软雅黑" w:hAnsi="微软雅黑" w:eastAsia="微软雅黑" w:cs="宋体"/>
                <w:color w:val="000000"/>
                <w:kern w:val="0"/>
                <w:sz w:val="24"/>
              </w:rPr>
            </w:pPr>
          </w:p>
        </w:tc>
      </w:tr>
      <w:tr w14:paraId="718AACB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6" w:type="dxa"/>
          </w:tcPr>
          <w:p w14:paraId="3A333AF5">
            <w:pPr>
              <w:rPr>
                <w:rFonts w:ascii="微软雅黑" w:hAnsi="微软雅黑" w:eastAsia="微软雅黑" w:cs="宋体"/>
                <w:color w:val="000000"/>
                <w:kern w:val="0"/>
                <w:sz w:val="24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4"/>
              </w:rPr>
              <w:t>项目</w:t>
            </w:r>
            <w:r>
              <w:rPr>
                <w:rFonts w:ascii="微软雅黑" w:hAnsi="微软雅黑" w:eastAsia="微软雅黑" w:cs="宋体"/>
                <w:color w:val="000000"/>
                <w:kern w:val="0"/>
                <w:sz w:val="24"/>
              </w:rPr>
              <w:t>负责人</w:t>
            </w:r>
          </w:p>
        </w:tc>
        <w:tc>
          <w:tcPr>
            <w:tcW w:w="11511" w:type="dxa"/>
          </w:tcPr>
          <w:p w14:paraId="180BAD84">
            <w:pPr>
              <w:rPr>
                <w:rFonts w:ascii="微软雅黑" w:hAnsi="微软雅黑" w:eastAsia="微软雅黑" w:cs="宋体"/>
                <w:color w:val="000000"/>
                <w:kern w:val="0"/>
                <w:sz w:val="24"/>
              </w:rPr>
            </w:pPr>
          </w:p>
        </w:tc>
      </w:tr>
      <w:tr w14:paraId="7D99D16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6" w:type="dxa"/>
          </w:tcPr>
          <w:p w14:paraId="65206B36">
            <w:pPr>
              <w:rPr>
                <w:rFonts w:ascii="微软雅黑" w:hAnsi="微软雅黑" w:eastAsia="微软雅黑" w:cs="宋体"/>
                <w:color w:val="000000"/>
                <w:kern w:val="0"/>
                <w:sz w:val="24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4"/>
              </w:rPr>
              <w:t>案例</w:t>
            </w:r>
            <w:r>
              <w:rPr>
                <w:rFonts w:ascii="微软雅黑" w:hAnsi="微软雅黑" w:eastAsia="微软雅黑" w:cs="宋体"/>
                <w:color w:val="000000"/>
                <w:kern w:val="0"/>
                <w:sz w:val="24"/>
              </w:rPr>
              <w:t>简介</w:t>
            </w:r>
          </w:p>
        </w:tc>
        <w:tc>
          <w:tcPr>
            <w:tcW w:w="11511" w:type="dxa"/>
          </w:tcPr>
          <w:p w14:paraId="6DA15F54">
            <w:pPr>
              <w:rPr>
                <w:rFonts w:ascii="微软雅黑" w:hAnsi="微软雅黑" w:eastAsia="微软雅黑" w:cs="宋体"/>
                <w:color w:val="000000"/>
                <w:kern w:val="0"/>
                <w:sz w:val="24"/>
              </w:rPr>
            </w:pPr>
          </w:p>
        </w:tc>
      </w:tr>
      <w:tr w14:paraId="66F017E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6" w:type="dxa"/>
          </w:tcPr>
          <w:p w14:paraId="2106DEE6">
            <w:pPr>
              <w:rPr>
                <w:rFonts w:ascii="微软雅黑" w:hAnsi="微软雅黑" w:eastAsia="微软雅黑" w:cs="宋体"/>
                <w:color w:val="000000"/>
                <w:kern w:val="0"/>
                <w:sz w:val="24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4"/>
              </w:rPr>
              <w:t>主</w:t>
            </w:r>
            <w:r>
              <w:rPr>
                <w:rFonts w:ascii="微软雅黑" w:hAnsi="微软雅黑" w:eastAsia="微软雅黑" w:cs="宋体"/>
                <w:color w:val="000000"/>
                <w:kern w:val="0"/>
                <w:sz w:val="24"/>
              </w:rPr>
              <w:t>要内容及</w:t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4"/>
              </w:rPr>
              <w:t>创新</w:t>
            </w:r>
            <w:r>
              <w:rPr>
                <w:rFonts w:ascii="微软雅黑" w:hAnsi="微软雅黑" w:eastAsia="微软雅黑" w:cs="宋体"/>
                <w:color w:val="000000"/>
                <w:kern w:val="0"/>
                <w:sz w:val="24"/>
              </w:rPr>
              <w:t>点</w:t>
            </w:r>
          </w:p>
        </w:tc>
        <w:tc>
          <w:tcPr>
            <w:tcW w:w="11511" w:type="dxa"/>
          </w:tcPr>
          <w:p w14:paraId="091449A3">
            <w:pPr>
              <w:rPr>
                <w:rFonts w:ascii="微软雅黑" w:hAnsi="微软雅黑" w:eastAsia="微软雅黑" w:cs="宋体"/>
                <w:color w:val="000000"/>
                <w:kern w:val="0"/>
                <w:sz w:val="24"/>
              </w:rPr>
            </w:pPr>
          </w:p>
        </w:tc>
      </w:tr>
      <w:tr w14:paraId="70FC456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6" w:type="dxa"/>
          </w:tcPr>
          <w:p w14:paraId="7D940521">
            <w:pPr>
              <w:rPr>
                <w:rFonts w:ascii="微软雅黑" w:hAnsi="微软雅黑" w:eastAsia="微软雅黑" w:cs="宋体"/>
                <w:color w:val="000000"/>
                <w:kern w:val="0"/>
                <w:sz w:val="24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4"/>
              </w:rPr>
              <w:t>相</w:t>
            </w:r>
            <w:r>
              <w:rPr>
                <w:rFonts w:ascii="微软雅黑" w:hAnsi="微软雅黑" w:eastAsia="微软雅黑" w:cs="宋体"/>
                <w:color w:val="000000"/>
                <w:kern w:val="0"/>
                <w:sz w:val="24"/>
              </w:rPr>
              <w:t>关量化指标</w:t>
            </w:r>
          </w:p>
        </w:tc>
        <w:tc>
          <w:tcPr>
            <w:tcW w:w="11511" w:type="dxa"/>
          </w:tcPr>
          <w:p w14:paraId="0A70AB94">
            <w:pPr>
              <w:rPr>
                <w:rFonts w:ascii="微软雅黑" w:hAnsi="微软雅黑" w:eastAsia="微软雅黑" w:cs="宋体"/>
                <w:color w:val="000000"/>
                <w:kern w:val="0"/>
                <w:sz w:val="24"/>
              </w:rPr>
            </w:pPr>
          </w:p>
        </w:tc>
      </w:tr>
      <w:tr w14:paraId="0282D8B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6" w:type="dxa"/>
          </w:tcPr>
          <w:p w14:paraId="7B6425CD">
            <w:pPr>
              <w:rPr>
                <w:rFonts w:ascii="微软雅黑" w:hAnsi="微软雅黑" w:eastAsia="微软雅黑" w:cs="宋体"/>
                <w:color w:val="000000"/>
                <w:kern w:val="0"/>
                <w:sz w:val="24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4"/>
              </w:rPr>
              <w:t>阶段</w:t>
            </w:r>
            <w:r>
              <w:rPr>
                <w:rFonts w:ascii="微软雅黑" w:hAnsi="微软雅黑" w:eastAsia="微软雅黑" w:cs="宋体"/>
                <w:color w:val="000000"/>
                <w:kern w:val="0"/>
                <w:sz w:val="24"/>
              </w:rPr>
              <w:t>性成果</w:t>
            </w:r>
          </w:p>
        </w:tc>
        <w:tc>
          <w:tcPr>
            <w:tcW w:w="11511" w:type="dxa"/>
          </w:tcPr>
          <w:p w14:paraId="47C05106">
            <w:pPr>
              <w:rPr>
                <w:rFonts w:ascii="微软雅黑" w:hAnsi="微软雅黑" w:eastAsia="微软雅黑" w:cs="宋体"/>
                <w:color w:val="000000"/>
                <w:kern w:val="0"/>
                <w:sz w:val="24"/>
              </w:rPr>
            </w:pPr>
          </w:p>
        </w:tc>
      </w:tr>
      <w:tr w14:paraId="66B4260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6" w:type="dxa"/>
          </w:tcPr>
          <w:p w14:paraId="376F333C">
            <w:pPr>
              <w:rPr>
                <w:rFonts w:ascii="微软雅黑" w:hAnsi="微软雅黑" w:eastAsia="微软雅黑" w:cs="宋体"/>
                <w:color w:val="000000"/>
                <w:kern w:val="0"/>
                <w:sz w:val="24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4"/>
              </w:rPr>
              <w:t>预期目标</w:t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4"/>
                <w:lang w:val="en-US" w:eastAsia="zh-CN"/>
              </w:rPr>
              <w:t>达成</w:t>
            </w:r>
            <w:bookmarkStart w:id="0" w:name="_GoBack"/>
            <w:bookmarkEnd w:id="0"/>
            <w:r>
              <w:rPr>
                <w:rFonts w:ascii="微软雅黑" w:hAnsi="微软雅黑" w:eastAsia="微软雅黑" w:cs="宋体"/>
                <w:color w:val="000000"/>
                <w:kern w:val="0"/>
                <w:sz w:val="24"/>
              </w:rPr>
              <w:t>情况</w:t>
            </w:r>
          </w:p>
        </w:tc>
        <w:tc>
          <w:tcPr>
            <w:tcW w:w="11511" w:type="dxa"/>
          </w:tcPr>
          <w:p w14:paraId="0F3D4756">
            <w:pPr>
              <w:rPr>
                <w:rFonts w:ascii="微软雅黑" w:hAnsi="微软雅黑" w:eastAsia="微软雅黑" w:cs="宋体"/>
                <w:color w:val="000000"/>
                <w:kern w:val="0"/>
                <w:sz w:val="24"/>
              </w:rPr>
            </w:pPr>
          </w:p>
        </w:tc>
      </w:tr>
      <w:tr w14:paraId="15DDBAA3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6" w:type="dxa"/>
          </w:tcPr>
          <w:p w14:paraId="408B3B61">
            <w:pPr>
              <w:rPr>
                <w:rFonts w:ascii="微软雅黑" w:hAnsi="微软雅黑" w:eastAsia="微软雅黑" w:cs="宋体"/>
                <w:color w:val="000000"/>
                <w:kern w:val="0"/>
                <w:sz w:val="24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4"/>
              </w:rPr>
              <w:t>下</w:t>
            </w:r>
            <w:r>
              <w:rPr>
                <w:rFonts w:ascii="微软雅黑" w:hAnsi="微软雅黑" w:eastAsia="微软雅黑" w:cs="宋体"/>
                <w:color w:val="000000"/>
                <w:kern w:val="0"/>
                <w:sz w:val="24"/>
              </w:rPr>
              <w:t>一步规划</w:t>
            </w:r>
          </w:p>
        </w:tc>
        <w:tc>
          <w:tcPr>
            <w:tcW w:w="11511" w:type="dxa"/>
          </w:tcPr>
          <w:p w14:paraId="052FB9EC">
            <w:pPr>
              <w:rPr>
                <w:rFonts w:ascii="微软雅黑" w:hAnsi="微软雅黑" w:eastAsia="微软雅黑" w:cs="宋体"/>
                <w:color w:val="000000"/>
                <w:kern w:val="0"/>
                <w:sz w:val="24"/>
              </w:rPr>
            </w:pPr>
          </w:p>
        </w:tc>
      </w:tr>
      <w:tr w14:paraId="1DD360A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6" w:type="dxa"/>
          </w:tcPr>
          <w:p w14:paraId="45D3A6D6">
            <w:pPr>
              <w:rPr>
                <w:rFonts w:ascii="微软雅黑" w:hAnsi="微软雅黑" w:eastAsia="微软雅黑" w:cs="宋体"/>
                <w:color w:val="000000"/>
                <w:kern w:val="0"/>
                <w:sz w:val="24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4"/>
              </w:rPr>
              <w:t>其他</w:t>
            </w:r>
            <w:r>
              <w:rPr>
                <w:rFonts w:ascii="微软雅黑" w:hAnsi="微软雅黑" w:eastAsia="微软雅黑" w:cs="宋体"/>
                <w:color w:val="000000"/>
                <w:kern w:val="0"/>
                <w:sz w:val="24"/>
              </w:rPr>
              <w:t>资料</w:t>
            </w:r>
          </w:p>
        </w:tc>
        <w:tc>
          <w:tcPr>
            <w:tcW w:w="11511" w:type="dxa"/>
          </w:tcPr>
          <w:p w14:paraId="09F3D437">
            <w:pPr>
              <w:rPr>
                <w:rFonts w:ascii="微软雅黑" w:hAnsi="微软雅黑" w:eastAsia="微软雅黑" w:cs="宋体"/>
                <w:color w:val="000000"/>
                <w:kern w:val="0"/>
                <w:sz w:val="24"/>
              </w:rPr>
            </w:pPr>
          </w:p>
        </w:tc>
      </w:tr>
    </w:tbl>
    <w:p w14:paraId="5C4CFA7C">
      <w:pPr>
        <w:rPr>
          <w:rFonts w:ascii="华文仿宋" w:hAnsi="华文仿宋" w:eastAsia="华文仿宋" w:cs="宋体"/>
          <w:color w:val="000000"/>
          <w:kern w:val="0"/>
          <w:sz w:val="24"/>
        </w:rPr>
      </w:pPr>
    </w:p>
    <w:p w14:paraId="769AEC55">
      <w:pPr>
        <w:widowControl/>
        <w:shd w:val="clear" w:color="auto" w:fill="FFFFFF"/>
        <w:spacing w:line="360" w:lineRule="atLeast"/>
        <w:jc w:val="left"/>
        <w:rPr>
          <w:rFonts w:ascii="黑体" w:hAnsi="黑体" w:eastAsia="黑体" w:cs="宋体"/>
          <w:b/>
          <w:color w:val="FFFFFF" w:themeColor="background1"/>
          <w:kern w:val="0"/>
          <w:sz w:val="32"/>
          <w:szCs w:val="32"/>
          <w:highlight w:val="darkRed"/>
          <w:u w:val="double"/>
          <w14:textFill>
            <w14:solidFill>
              <w14:schemeClr w14:val="bg1"/>
            </w14:solidFill>
          </w14:textFill>
        </w:rPr>
      </w:pPr>
      <w:r>
        <w:rPr>
          <w:rFonts w:hint="eastAsia" w:ascii="黑体" w:hAnsi="黑体" w:eastAsia="黑体" w:cs="宋体"/>
          <w:b/>
          <w:color w:val="FFFFFF" w:themeColor="background1"/>
          <w:kern w:val="0"/>
          <w:sz w:val="32"/>
          <w:szCs w:val="32"/>
          <w:highlight w:val="darkRed"/>
          <w:u w:val="double"/>
          <w14:textFill>
            <w14:solidFill>
              <w14:schemeClr w14:val="bg1"/>
            </w14:solidFill>
          </w14:textFill>
        </w:rPr>
        <w:t xml:space="preserve"> 附</w:t>
      </w:r>
      <w:r>
        <w:rPr>
          <w:rFonts w:ascii="黑体" w:hAnsi="黑体" w:eastAsia="黑体" w:cs="宋体"/>
          <w:b/>
          <w:color w:val="FFFFFF" w:themeColor="background1"/>
          <w:kern w:val="0"/>
          <w:sz w:val="32"/>
          <w:szCs w:val="32"/>
          <w:highlight w:val="darkRed"/>
          <w:u w:val="double"/>
          <w14:textFill>
            <w14:solidFill>
              <w14:schemeClr w14:val="bg1"/>
            </w14:solidFill>
          </w14:textFill>
        </w:rPr>
        <w:t>件</w:t>
      </w:r>
      <w:r>
        <w:rPr>
          <w:rFonts w:hint="eastAsia" w:ascii="黑体" w:hAnsi="黑体" w:eastAsia="黑体" w:cs="宋体"/>
          <w:b/>
          <w:color w:val="FFFFFF" w:themeColor="background1"/>
          <w:kern w:val="0"/>
          <w:sz w:val="32"/>
          <w:szCs w:val="32"/>
          <w:highlight w:val="darkRed"/>
          <w:u w:val="double"/>
          <w14:textFill>
            <w14:solidFill>
              <w14:schemeClr w14:val="bg1"/>
            </w14:solidFill>
          </w14:textFill>
        </w:rPr>
        <w:t>1：奖项说</w:t>
      </w:r>
      <w:r>
        <w:rPr>
          <w:rFonts w:ascii="黑体" w:hAnsi="黑体" w:eastAsia="黑体" w:cs="宋体"/>
          <w:b/>
          <w:color w:val="FFFFFF" w:themeColor="background1"/>
          <w:kern w:val="0"/>
          <w:sz w:val="32"/>
          <w:szCs w:val="32"/>
          <w:highlight w:val="darkRed"/>
          <w:u w:val="double"/>
          <w14:textFill>
            <w14:solidFill>
              <w14:schemeClr w14:val="bg1"/>
            </w14:solidFill>
          </w14:textFill>
        </w:rPr>
        <w:t>明</w:t>
      </w:r>
      <w:r>
        <w:rPr>
          <w:rFonts w:hint="eastAsia" w:ascii="黑体" w:hAnsi="黑体" w:eastAsia="黑体" w:cs="宋体"/>
          <w:b/>
          <w:color w:val="FFFFFF" w:themeColor="background1"/>
          <w:kern w:val="0"/>
          <w:sz w:val="32"/>
          <w:szCs w:val="32"/>
          <w:highlight w:val="darkRed"/>
          <w:u w:val="double"/>
          <w14:textFill>
            <w14:solidFill>
              <w14:schemeClr w14:val="bg1"/>
            </w14:solidFill>
          </w14:textFill>
        </w:rPr>
        <w:t xml:space="preserve"> </w:t>
      </w:r>
    </w:p>
    <w:tbl>
      <w:tblPr>
        <w:tblStyle w:val="5"/>
        <w:tblW w:w="13909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97"/>
        <w:gridCol w:w="11212"/>
      </w:tblGrid>
      <w:tr w14:paraId="18D64D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6" w:hRule="atLeast"/>
          <w:tblHeader/>
        </w:trPr>
        <w:tc>
          <w:tcPr>
            <w:tcW w:w="2697" w:type="dxa"/>
            <w:shd w:val="clear" w:color="auto" w:fill="C00000"/>
            <w:noWrap/>
            <w:vAlign w:val="bottom"/>
          </w:tcPr>
          <w:p w14:paraId="5F014920">
            <w:pPr>
              <w:widowControl/>
              <w:jc w:val="left"/>
              <w:rPr>
                <w:rFonts w:ascii="微软雅黑" w:hAnsi="微软雅黑" w:eastAsia="微软雅黑" w:cs="宋体"/>
                <w:b/>
                <w:color w:val="FFFFFF" w:themeColor="background1"/>
                <w:kern w:val="0"/>
                <w:sz w:val="24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hint="eastAsia" w:ascii="微软雅黑" w:hAnsi="微软雅黑" w:eastAsia="微软雅黑" w:cs="宋体"/>
                <w:b/>
                <w:color w:val="FFFFFF" w:themeColor="background1"/>
                <w:kern w:val="0"/>
                <w:sz w:val="24"/>
                <w14:textFill>
                  <w14:solidFill>
                    <w14:schemeClr w14:val="bg1"/>
                  </w14:solidFill>
                </w14:textFill>
              </w:rPr>
              <w:t>奖项名称</w:t>
            </w:r>
          </w:p>
        </w:tc>
        <w:tc>
          <w:tcPr>
            <w:tcW w:w="11212" w:type="dxa"/>
            <w:shd w:val="clear" w:color="auto" w:fill="C00000"/>
            <w:noWrap/>
            <w:vAlign w:val="bottom"/>
          </w:tcPr>
          <w:p w14:paraId="1F778754">
            <w:pPr>
              <w:widowControl/>
              <w:jc w:val="left"/>
              <w:rPr>
                <w:rFonts w:ascii="微软雅黑" w:hAnsi="微软雅黑" w:eastAsia="微软雅黑" w:cs="宋体"/>
                <w:b/>
                <w:color w:val="FFFFFF" w:themeColor="background1"/>
                <w:kern w:val="0"/>
                <w:sz w:val="24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hint="eastAsia" w:ascii="微软雅黑" w:hAnsi="微软雅黑" w:eastAsia="微软雅黑" w:cs="宋体"/>
                <w:b/>
                <w:color w:val="FFFFFF" w:themeColor="background1"/>
                <w:kern w:val="0"/>
                <w:sz w:val="24"/>
                <w14:textFill>
                  <w14:solidFill>
                    <w14:schemeClr w14:val="bg1"/>
                  </w14:solidFill>
                </w14:textFill>
              </w:rPr>
              <w:t>参评标准</w:t>
            </w:r>
          </w:p>
        </w:tc>
      </w:tr>
      <w:tr w14:paraId="68B8E8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26" w:hRule="atLeast"/>
          <w:tblHeader/>
        </w:trPr>
        <w:tc>
          <w:tcPr>
            <w:tcW w:w="2697" w:type="dxa"/>
            <w:shd w:val="clear" w:color="000000" w:fill="FFFFFF"/>
            <w:noWrap/>
            <w:vAlign w:val="center"/>
          </w:tcPr>
          <w:p w14:paraId="51DFF0E5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both"/>
              <w:textAlignment w:val="center"/>
              <w:rPr>
                <w:rFonts w:hint="eastAsia" w:ascii="微软雅黑" w:hAnsi="微软雅黑" w:eastAsia="微软雅黑" w:cs="微软雅黑"/>
                <w:color w:val="auto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21"/>
                <w:szCs w:val="21"/>
                <w:lang w:val="en-US" w:eastAsia="zh-CN" w:bidi="ar"/>
              </w:rPr>
              <w:t>长期价值生态典范奖</w:t>
            </w:r>
          </w:p>
        </w:tc>
        <w:tc>
          <w:tcPr>
            <w:tcW w:w="11212" w:type="dxa"/>
            <w:shd w:val="clear" w:color="auto" w:fill="auto"/>
            <w:vAlign w:val="center"/>
          </w:tcPr>
          <w:p w14:paraId="6A91E73D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both"/>
              <w:textAlignment w:val="center"/>
              <w:rPr>
                <w:rFonts w:hint="eastAsia" w:ascii="微软雅黑" w:hAnsi="微软雅黑" w:eastAsia="微软雅黑" w:cs="微软雅黑"/>
                <w:color w:val="auto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21"/>
                <w:szCs w:val="21"/>
                <w:lang w:val="en-US" w:eastAsia="zh-CN" w:bidi="ar"/>
              </w:rPr>
              <w:t>1. 核心投决会成员平均司龄≥8年，内部培养晋升基金经理占比≥70%；形成体系化投资方法论，曾在行业论坛公开分享；</w:t>
            </w:r>
          </w:p>
          <w:p w14:paraId="21DAF9EF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both"/>
              <w:textAlignment w:val="center"/>
              <w:rPr>
                <w:rFonts w:hint="eastAsia" w:ascii="微软雅黑" w:hAnsi="微软雅黑" w:eastAsia="微软雅黑" w:cs="微软雅黑"/>
                <w:color w:val="auto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21"/>
                <w:szCs w:val="21"/>
                <w:lang w:val="en-US" w:eastAsia="zh-CN" w:bidi="ar"/>
              </w:rPr>
              <w:t>2. 提供至少1个经被投企业确认的深度赋能案例；</w:t>
            </w:r>
          </w:p>
          <w:p w14:paraId="41A98B20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both"/>
              <w:textAlignment w:val="center"/>
              <w:rPr>
                <w:rFonts w:hint="eastAsia" w:ascii="微软雅黑" w:hAnsi="微软雅黑" w:eastAsia="微软雅黑" w:cs="微软雅黑"/>
                <w:color w:val="auto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21"/>
                <w:szCs w:val="21"/>
                <w:lang w:val="en-US" w:eastAsia="zh-CN" w:bidi="ar"/>
              </w:rPr>
              <w:t>3. 投资理念被主流资管机构引用，核心团队年参与行业交流至少超过5次；</w:t>
            </w:r>
          </w:p>
        </w:tc>
      </w:tr>
    </w:tbl>
    <w:p w14:paraId="6BF1E266">
      <w:pPr>
        <w:rPr>
          <w:rFonts w:hint="eastAsia" w:ascii="微软雅黑" w:hAnsi="微软雅黑" w:eastAsia="微软雅黑"/>
          <w:sz w:val="24"/>
        </w:rPr>
      </w:pPr>
      <w:r>
        <w:rPr>
          <w:rFonts w:hint="eastAsia" w:ascii="微软雅黑" w:hAnsi="微软雅黑" w:eastAsia="微软雅黑"/>
          <w:sz w:val="24"/>
          <w:lang w:val="en-US" w:eastAsia="zh-CN"/>
        </w:rPr>
        <w:t>备注：</w:t>
      </w:r>
      <w:r>
        <w:rPr>
          <w:rFonts w:hint="eastAsia" w:ascii="微软雅黑" w:hAnsi="微软雅黑" w:eastAsia="微软雅黑"/>
          <w:sz w:val="24"/>
        </w:rPr>
        <w:t>本次奖项以最终确定为准。</w:t>
      </w:r>
    </w:p>
    <w:p w14:paraId="1F2516F1">
      <w:pPr>
        <w:rPr>
          <w:rFonts w:ascii="微软雅黑" w:hAnsi="微软雅黑" w:eastAsia="微软雅黑"/>
          <w:sz w:val="24"/>
        </w:rPr>
      </w:pPr>
    </w:p>
    <w:p w14:paraId="661E540B">
      <w:pPr>
        <w:widowControl/>
        <w:shd w:val="clear" w:color="auto" w:fill="FFFFFF"/>
        <w:spacing w:line="360" w:lineRule="atLeast"/>
        <w:jc w:val="left"/>
        <w:rPr>
          <w:rFonts w:ascii="黑体" w:hAnsi="黑体" w:eastAsia="黑体" w:cs="宋体"/>
          <w:b/>
          <w:color w:val="FFFFFF" w:themeColor="background1"/>
          <w:kern w:val="0"/>
          <w:sz w:val="32"/>
          <w:szCs w:val="32"/>
          <w:highlight w:val="darkRed"/>
          <w:u w:val="double"/>
          <w14:textFill>
            <w14:solidFill>
              <w14:schemeClr w14:val="bg1"/>
            </w14:solidFill>
          </w14:textFill>
        </w:rPr>
      </w:pPr>
      <w:r>
        <w:rPr>
          <w:rFonts w:hint="eastAsia" w:ascii="黑体" w:hAnsi="黑体" w:eastAsia="黑体" w:cs="宋体"/>
          <w:b/>
          <w:color w:val="FFFFFF" w:themeColor="background1"/>
          <w:kern w:val="0"/>
          <w:sz w:val="32"/>
          <w:szCs w:val="32"/>
          <w:highlight w:val="darkRed"/>
          <w:u w:val="double"/>
          <w14:textFill>
            <w14:solidFill>
              <w14:schemeClr w14:val="bg1"/>
            </w14:solidFill>
          </w14:textFill>
        </w:rPr>
        <w:t xml:space="preserve"> 附</w:t>
      </w:r>
      <w:r>
        <w:rPr>
          <w:rFonts w:ascii="黑体" w:hAnsi="黑体" w:eastAsia="黑体" w:cs="宋体"/>
          <w:b/>
          <w:color w:val="FFFFFF" w:themeColor="background1"/>
          <w:kern w:val="0"/>
          <w:sz w:val="32"/>
          <w:szCs w:val="32"/>
          <w:highlight w:val="darkRed"/>
          <w:u w:val="double"/>
          <w14:textFill>
            <w14:solidFill>
              <w14:schemeClr w14:val="bg1"/>
            </w14:solidFill>
          </w14:textFill>
        </w:rPr>
        <w:t>件2</w:t>
      </w:r>
      <w:r>
        <w:rPr>
          <w:rFonts w:hint="eastAsia" w:ascii="黑体" w:hAnsi="黑体" w:eastAsia="黑体" w:cs="宋体"/>
          <w:b/>
          <w:color w:val="FFFFFF" w:themeColor="background1"/>
          <w:kern w:val="0"/>
          <w:sz w:val="32"/>
          <w:szCs w:val="32"/>
          <w:highlight w:val="darkRed"/>
          <w:u w:val="double"/>
          <w14:textFill>
            <w14:solidFill>
              <w14:schemeClr w14:val="bg1"/>
            </w14:solidFill>
          </w14:textFill>
        </w:rPr>
        <w:t>：评</w:t>
      </w:r>
      <w:r>
        <w:rPr>
          <w:rFonts w:ascii="黑体" w:hAnsi="黑体" w:eastAsia="黑体" w:cs="宋体"/>
          <w:b/>
          <w:color w:val="FFFFFF" w:themeColor="background1"/>
          <w:kern w:val="0"/>
          <w:sz w:val="32"/>
          <w:szCs w:val="32"/>
          <w:highlight w:val="darkRed"/>
          <w:u w:val="double"/>
          <w14:textFill>
            <w14:solidFill>
              <w14:schemeClr w14:val="bg1"/>
            </w14:solidFill>
          </w14:textFill>
        </w:rPr>
        <w:t>选规则</w:t>
      </w:r>
      <w:r>
        <w:rPr>
          <w:rFonts w:hint="eastAsia" w:ascii="黑体" w:hAnsi="黑体" w:eastAsia="黑体" w:cs="宋体"/>
          <w:b/>
          <w:color w:val="FFFFFF" w:themeColor="background1"/>
          <w:kern w:val="0"/>
          <w:sz w:val="32"/>
          <w:szCs w:val="32"/>
          <w:highlight w:val="darkRed"/>
          <w:u w:val="double"/>
          <w14:textFill>
            <w14:solidFill>
              <w14:schemeClr w14:val="bg1"/>
            </w14:solidFill>
          </w14:textFill>
        </w:rPr>
        <w:t xml:space="preserve"> </w:t>
      </w:r>
    </w:p>
    <w:p w14:paraId="03725585">
      <w:pPr>
        <w:rPr>
          <w:rFonts w:ascii="微软雅黑" w:hAnsi="微软雅黑" w:eastAsia="微软雅黑"/>
          <w:sz w:val="24"/>
        </w:rPr>
      </w:pPr>
      <w:r>
        <w:rPr>
          <w:rFonts w:hint="eastAsia" w:ascii="微软雅黑" w:hAnsi="微软雅黑" w:eastAsia="微软雅黑"/>
          <w:sz w:val="24"/>
        </w:rPr>
        <w:t>第十四届金融界“金智奖”年度评选</w:t>
      </w:r>
      <w:r>
        <w:rPr>
          <w:rFonts w:hint="eastAsia" w:ascii="微软雅黑" w:hAnsi="微软雅黑" w:eastAsia="微软雅黑"/>
          <w:sz w:val="24"/>
          <w:lang w:val="en-US" w:eastAsia="zh-CN"/>
        </w:rPr>
        <w:t>将</w:t>
      </w:r>
      <w:r>
        <w:rPr>
          <w:rFonts w:hint="eastAsia" w:ascii="微软雅黑" w:hAnsi="微软雅黑" w:eastAsia="微软雅黑"/>
          <w:b w:val="0"/>
          <w:bCs w:val="0"/>
          <w:sz w:val="24"/>
        </w:rPr>
        <w:t>通过金融界全媒体平台及合作渠道发布评选启动公告</w:t>
      </w:r>
      <w:r>
        <w:rPr>
          <w:rFonts w:hint="eastAsia" w:ascii="微软雅黑" w:hAnsi="微软雅黑" w:eastAsia="微软雅黑"/>
          <w:b w:val="0"/>
          <w:bCs w:val="0"/>
          <w:sz w:val="24"/>
          <w:lang w:eastAsia="zh-CN"/>
        </w:rPr>
        <w:t>，</w:t>
      </w:r>
      <w:r>
        <w:rPr>
          <w:rFonts w:hint="eastAsia" w:ascii="微软雅黑" w:hAnsi="微软雅黑" w:eastAsia="微软雅黑"/>
          <w:b w:val="0"/>
          <w:bCs w:val="0"/>
          <w:sz w:val="24"/>
          <w:lang w:val="en-US" w:eastAsia="zh-CN"/>
        </w:rPr>
        <w:t>以及</w:t>
      </w:r>
      <w:r>
        <w:rPr>
          <w:rFonts w:hint="eastAsia" w:ascii="微软雅黑" w:hAnsi="微软雅黑" w:eastAsia="微软雅黑"/>
          <w:b w:val="0"/>
          <w:bCs w:val="0"/>
          <w:sz w:val="24"/>
        </w:rPr>
        <w:t>向往届获奖机构及知名金融机构发出定向参赛邀请</w:t>
      </w:r>
      <w:r>
        <w:rPr>
          <w:rFonts w:hint="eastAsia" w:ascii="微软雅黑" w:hAnsi="微软雅黑" w:eastAsia="微软雅黑"/>
          <w:b w:val="0"/>
          <w:bCs w:val="0"/>
          <w:sz w:val="24"/>
          <w:lang w:eastAsia="zh-CN"/>
        </w:rPr>
        <w:t>，</w:t>
      </w:r>
      <w:r>
        <w:rPr>
          <w:rFonts w:hint="eastAsia" w:ascii="微软雅黑" w:hAnsi="微软雅黑" w:eastAsia="微软雅黑"/>
          <w:b w:val="0"/>
          <w:bCs w:val="0"/>
          <w:sz w:val="24"/>
          <w:lang w:val="en-US" w:eastAsia="zh-CN"/>
        </w:rPr>
        <w:t>将</w:t>
      </w:r>
      <w:r>
        <w:rPr>
          <w:rFonts w:ascii="微软雅黑" w:hAnsi="微软雅黑" w:eastAsia="微软雅黑"/>
          <w:sz w:val="24"/>
        </w:rPr>
        <w:t>从</w:t>
      </w:r>
      <w:r>
        <w:rPr>
          <w:rFonts w:hint="eastAsia" w:ascii="微软雅黑" w:hAnsi="微软雅黑" w:eastAsia="微软雅黑"/>
          <w:sz w:val="24"/>
        </w:rPr>
        <w:t>参评</w:t>
      </w:r>
      <w:r>
        <w:rPr>
          <w:rFonts w:ascii="微软雅黑" w:hAnsi="微软雅黑" w:eastAsia="微软雅黑"/>
          <w:sz w:val="24"/>
        </w:rPr>
        <w:t>企业的</w:t>
      </w:r>
      <w:r>
        <w:rPr>
          <w:rFonts w:hint="eastAsia" w:ascii="微软雅黑" w:hAnsi="微软雅黑" w:eastAsia="微软雅黑"/>
          <w:sz w:val="24"/>
        </w:rPr>
        <w:t>品牌、产品、服务、创新、营销以</w:t>
      </w:r>
      <w:r>
        <w:rPr>
          <w:rFonts w:ascii="微软雅黑" w:hAnsi="微软雅黑" w:eastAsia="微软雅黑"/>
          <w:sz w:val="24"/>
        </w:rPr>
        <w:t>及</w:t>
      </w:r>
      <w:r>
        <w:rPr>
          <w:rFonts w:hint="eastAsia" w:ascii="微软雅黑" w:hAnsi="微软雅黑" w:eastAsia="微软雅黑"/>
          <w:sz w:val="24"/>
        </w:rPr>
        <w:t>社会责任等</w:t>
      </w:r>
      <w:r>
        <w:rPr>
          <w:rFonts w:ascii="微软雅黑" w:hAnsi="微软雅黑" w:eastAsia="微软雅黑"/>
          <w:sz w:val="24"/>
        </w:rPr>
        <w:t>维度</w:t>
      </w:r>
      <w:r>
        <w:rPr>
          <w:rFonts w:hint="eastAsia" w:ascii="微软雅黑" w:hAnsi="微软雅黑" w:eastAsia="微软雅黑"/>
          <w:sz w:val="24"/>
        </w:rPr>
        <w:t>进</w:t>
      </w:r>
      <w:r>
        <w:rPr>
          <w:rFonts w:ascii="微软雅黑" w:hAnsi="微软雅黑" w:eastAsia="微软雅黑"/>
          <w:sz w:val="24"/>
        </w:rPr>
        <w:t>行</w:t>
      </w:r>
      <w:r>
        <w:rPr>
          <w:rFonts w:hint="eastAsia" w:ascii="微软雅黑" w:hAnsi="微软雅黑" w:eastAsia="微软雅黑"/>
          <w:sz w:val="24"/>
        </w:rPr>
        <w:t>参评</w:t>
      </w:r>
      <w:r>
        <w:rPr>
          <w:rFonts w:ascii="微软雅黑" w:hAnsi="微软雅黑" w:eastAsia="微软雅黑"/>
          <w:sz w:val="24"/>
        </w:rPr>
        <w:t>分析</w:t>
      </w:r>
      <w:r>
        <w:rPr>
          <w:rFonts w:hint="eastAsia" w:ascii="微软雅黑" w:hAnsi="微软雅黑" w:eastAsia="微软雅黑"/>
          <w:sz w:val="24"/>
        </w:rPr>
        <w:t>与专家</w:t>
      </w:r>
      <w:r>
        <w:rPr>
          <w:rFonts w:ascii="微软雅黑" w:hAnsi="微软雅黑" w:eastAsia="微软雅黑"/>
          <w:sz w:val="24"/>
        </w:rPr>
        <w:t>调研</w:t>
      </w:r>
      <w:r>
        <w:rPr>
          <w:rFonts w:hint="eastAsia" w:ascii="微软雅黑" w:hAnsi="微软雅黑" w:eastAsia="微软雅黑"/>
          <w:sz w:val="24"/>
        </w:rPr>
        <w:t>，最</w:t>
      </w:r>
      <w:r>
        <w:rPr>
          <w:rFonts w:ascii="微软雅黑" w:hAnsi="微软雅黑" w:eastAsia="微软雅黑"/>
          <w:sz w:val="24"/>
        </w:rPr>
        <w:t>终</w:t>
      </w:r>
      <w:r>
        <w:rPr>
          <w:rFonts w:hint="eastAsia" w:ascii="微软雅黑" w:hAnsi="微软雅黑" w:eastAsia="微软雅黑"/>
          <w:sz w:val="24"/>
        </w:rPr>
        <w:t>通过网络评审（投票）</w:t>
      </w:r>
      <w:r>
        <w:rPr>
          <w:rFonts w:ascii="微软雅黑" w:hAnsi="微软雅黑" w:eastAsia="微软雅黑"/>
          <w:sz w:val="24"/>
        </w:rPr>
        <w:t>、</w:t>
      </w:r>
      <w:r>
        <w:rPr>
          <w:rFonts w:hint="eastAsia" w:ascii="微软雅黑" w:hAnsi="微软雅黑" w:eastAsia="微软雅黑"/>
          <w:sz w:val="24"/>
        </w:rPr>
        <w:t>量化评审、专家评审</w:t>
      </w:r>
      <w:r>
        <w:rPr>
          <w:rFonts w:ascii="微软雅黑" w:hAnsi="微软雅黑" w:eastAsia="微软雅黑"/>
          <w:sz w:val="24"/>
        </w:rPr>
        <w:t>等环节确</w:t>
      </w:r>
      <w:r>
        <w:rPr>
          <w:rFonts w:hint="eastAsia" w:ascii="微软雅黑" w:hAnsi="微软雅黑" w:eastAsia="微软雅黑"/>
          <w:sz w:val="24"/>
        </w:rPr>
        <w:t>认</w:t>
      </w:r>
      <w:r>
        <w:rPr>
          <w:rFonts w:ascii="微软雅黑" w:hAnsi="微软雅黑" w:eastAsia="微软雅黑"/>
          <w:sz w:val="24"/>
        </w:rPr>
        <w:t>获奖名单</w:t>
      </w:r>
      <w:r>
        <w:rPr>
          <w:rFonts w:hint="eastAsia" w:ascii="微软雅黑" w:hAnsi="微软雅黑" w:eastAsia="微软雅黑"/>
          <w:sz w:val="24"/>
        </w:rPr>
        <w:t>。</w:t>
      </w:r>
    </w:p>
    <w:p w14:paraId="736C224A">
      <w:pPr>
        <w:rPr>
          <w:rFonts w:hint="eastAsia" w:ascii="微软雅黑" w:hAnsi="微软雅黑" w:eastAsia="微软雅黑"/>
          <w:b/>
          <w:bCs/>
          <w:sz w:val="24"/>
        </w:rPr>
      </w:pPr>
      <w:r>
        <w:rPr>
          <w:rFonts w:hint="eastAsia" w:ascii="微软雅黑" w:hAnsi="微软雅黑" w:eastAsia="微软雅黑"/>
          <w:b/>
          <w:bCs/>
          <w:sz w:val="24"/>
        </w:rPr>
        <w:t>第一阶段：报名与征集（即日- 11月20号）</w:t>
      </w:r>
    </w:p>
    <w:p w14:paraId="67815945">
      <w:pPr>
        <w:rPr>
          <w:rFonts w:hint="eastAsia" w:ascii="微软雅黑" w:hAnsi="微软雅黑" w:eastAsia="微软雅黑"/>
          <w:b w:val="0"/>
          <w:bCs w:val="0"/>
          <w:sz w:val="24"/>
        </w:rPr>
      </w:pPr>
      <w:r>
        <w:rPr>
          <w:rFonts w:hint="eastAsia" w:ascii="微软雅黑" w:hAnsi="微软雅黑" w:eastAsia="微软雅黑"/>
          <w:b w:val="0"/>
          <w:bCs w:val="0"/>
          <w:sz w:val="24"/>
        </w:rPr>
        <w:t>参选方式（双轨并行）：</w:t>
      </w:r>
    </w:p>
    <w:p w14:paraId="5FD7C2CD">
      <w:pPr>
        <w:numPr>
          <w:ilvl w:val="0"/>
          <w:numId w:val="1"/>
        </w:numPr>
        <w:rPr>
          <w:rFonts w:hint="eastAsia" w:ascii="微软雅黑" w:hAnsi="微软雅黑" w:eastAsia="微软雅黑"/>
          <w:b w:val="0"/>
          <w:bCs w:val="0"/>
          <w:sz w:val="24"/>
        </w:rPr>
      </w:pPr>
      <w:r>
        <w:rPr>
          <w:rFonts w:hint="eastAsia" w:ascii="微软雅黑" w:hAnsi="微软雅黑" w:eastAsia="微软雅黑"/>
          <w:b w:val="0"/>
          <w:bCs w:val="0"/>
          <w:sz w:val="24"/>
        </w:rPr>
        <w:t>机构自荐： 参评机构通过官方公告的邮箱（</w:t>
      </w:r>
      <w:r>
        <w:rPr>
          <w:rFonts w:hint="eastAsia" w:ascii="微软雅黑" w:hAnsi="微软雅黑" w:eastAsia="微软雅黑"/>
          <w:b/>
          <w:bCs/>
          <w:color w:val="C00000"/>
          <w:sz w:val="24"/>
        </w:rPr>
        <w:t>qhzg@jrj.com.cn</w:t>
      </w:r>
      <w:r>
        <w:rPr>
          <w:rFonts w:hint="eastAsia" w:ascii="微软雅黑" w:hAnsi="微软雅黑" w:eastAsia="微软雅黑"/>
          <w:b w:val="0"/>
          <w:bCs w:val="0"/>
          <w:sz w:val="24"/>
        </w:rPr>
        <w:t>）报名，下载并填写统一的《参评资料审核模板》。</w:t>
      </w:r>
    </w:p>
    <w:p w14:paraId="6C9D9F88">
      <w:pPr>
        <w:numPr>
          <w:ilvl w:val="0"/>
          <w:numId w:val="0"/>
        </w:numPr>
        <w:rPr>
          <w:rFonts w:hint="eastAsia" w:ascii="微软雅黑" w:hAnsi="微软雅黑" w:eastAsia="微软雅黑"/>
          <w:b w:val="0"/>
          <w:bCs w:val="0"/>
          <w:sz w:val="24"/>
        </w:rPr>
      </w:pPr>
      <w:r>
        <w:rPr>
          <w:rFonts w:hint="eastAsia" w:ascii="微软雅黑" w:hAnsi="微软雅黑" w:eastAsia="微软雅黑"/>
          <w:b w:val="0"/>
          <w:bCs w:val="0"/>
          <w:sz w:val="24"/>
        </w:rPr>
        <w:t>B. 主办方/专家推荐：由金融界或评审委员会推荐优质机构参与，确保头部机构的覆盖面。</w:t>
      </w:r>
    </w:p>
    <w:p w14:paraId="40441B75">
      <w:pPr>
        <w:rPr>
          <w:rFonts w:hint="eastAsia" w:ascii="微软雅黑" w:hAnsi="微软雅黑" w:eastAsia="微软雅黑"/>
          <w:b w:val="0"/>
          <w:bCs w:val="0"/>
          <w:sz w:val="24"/>
        </w:rPr>
      </w:pPr>
      <w:r>
        <w:rPr>
          <w:rFonts w:hint="eastAsia" w:ascii="微软雅黑" w:hAnsi="微软雅黑" w:eastAsia="微软雅黑"/>
          <w:b w:val="0"/>
          <w:bCs w:val="0"/>
          <w:sz w:val="24"/>
        </w:rPr>
        <w:t>材料初审：组委会在收到报名材料后，于3个工作日内完成形式审核并发送确认回执。</w:t>
      </w:r>
    </w:p>
    <w:p w14:paraId="7DB11143">
      <w:pPr>
        <w:rPr>
          <w:rFonts w:hint="eastAsia" w:ascii="微软雅黑" w:hAnsi="微软雅黑" w:eastAsia="微软雅黑"/>
          <w:b/>
          <w:bCs/>
          <w:sz w:val="24"/>
        </w:rPr>
      </w:pPr>
      <w:r>
        <w:rPr>
          <w:rFonts w:hint="eastAsia" w:ascii="微软雅黑" w:hAnsi="微软雅黑" w:eastAsia="微软雅黑"/>
          <w:b/>
          <w:bCs/>
          <w:sz w:val="24"/>
        </w:rPr>
        <w:t>第二阶段：三轮评审（2025年11月21日- 12月10日）</w:t>
      </w:r>
    </w:p>
    <w:p w14:paraId="15943078">
      <w:pPr>
        <w:rPr>
          <w:rFonts w:hint="eastAsia" w:ascii="微软雅黑" w:hAnsi="微软雅黑" w:eastAsia="微软雅黑"/>
          <w:b w:val="0"/>
          <w:bCs w:val="0"/>
          <w:sz w:val="24"/>
        </w:rPr>
      </w:pPr>
      <w:r>
        <w:rPr>
          <w:rFonts w:hint="eastAsia" w:ascii="微软雅黑" w:hAnsi="微软雅黑" w:eastAsia="微软雅黑"/>
          <w:b w:val="0"/>
          <w:bCs w:val="0"/>
          <w:sz w:val="24"/>
        </w:rPr>
        <w:t>A. 量化评审（权重30%）</w:t>
      </w:r>
    </w:p>
    <w:p w14:paraId="4DFC9E95">
      <w:pPr>
        <w:rPr>
          <w:rFonts w:hint="eastAsia" w:ascii="微软雅黑" w:hAnsi="微软雅黑" w:eastAsia="微软雅黑"/>
          <w:b w:val="0"/>
          <w:bCs w:val="0"/>
          <w:sz w:val="24"/>
        </w:rPr>
      </w:pPr>
      <w:r>
        <w:rPr>
          <w:rFonts w:hint="eastAsia" w:ascii="微软雅黑" w:hAnsi="微软雅黑" w:eastAsia="微软雅黑"/>
          <w:b w:val="0"/>
          <w:bCs w:val="0"/>
          <w:sz w:val="24"/>
        </w:rPr>
        <w:t>时间：2025年11月21日- 11月23日</w:t>
      </w:r>
    </w:p>
    <w:p w14:paraId="5B54EFA6">
      <w:pPr>
        <w:rPr>
          <w:rFonts w:hint="eastAsia" w:ascii="微软雅黑" w:hAnsi="微软雅黑" w:eastAsia="微软雅黑"/>
          <w:b w:val="0"/>
          <w:bCs w:val="0"/>
          <w:sz w:val="24"/>
        </w:rPr>
      </w:pPr>
      <w:r>
        <w:rPr>
          <w:rFonts w:hint="eastAsia" w:ascii="微软雅黑" w:hAnsi="微软雅黑" w:eastAsia="微软雅黑"/>
          <w:b w:val="0"/>
          <w:bCs w:val="0"/>
          <w:sz w:val="24"/>
        </w:rPr>
        <w:t>操作：评审委员会依据报名材料，对机构的资质、业务数据、合规情况等进行量化打分。此环节侧重于客观数据。</w:t>
      </w:r>
    </w:p>
    <w:p w14:paraId="42699A1E">
      <w:pPr>
        <w:rPr>
          <w:rFonts w:hint="eastAsia" w:ascii="微软雅黑" w:hAnsi="微软雅黑" w:eastAsia="微软雅黑"/>
          <w:b w:val="0"/>
          <w:bCs w:val="0"/>
          <w:sz w:val="24"/>
        </w:rPr>
      </w:pPr>
      <w:r>
        <w:rPr>
          <w:rFonts w:hint="eastAsia" w:ascii="微软雅黑" w:hAnsi="微软雅黑" w:eastAsia="微软雅黑"/>
          <w:b w:val="0"/>
          <w:bCs w:val="0"/>
          <w:sz w:val="24"/>
        </w:rPr>
        <w:t>B. 网络评审（权重40%）</w:t>
      </w:r>
    </w:p>
    <w:p w14:paraId="793A67D8">
      <w:pPr>
        <w:rPr>
          <w:rFonts w:hint="eastAsia" w:ascii="微软雅黑" w:hAnsi="微软雅黑" w:eastAsia="微软雅黑"/>
          <w:b w:val="0"/>
          <w:bCs w:val="0"/>
          <w:sz w:val="24"/>
        </w:rPr>
      </w:pPr>
      <w:r>
        <w:rPr>
          <w:rFonts w:hint="eastAsia" w:ascii="微软雅黑" w:hAnsi="微软雅黑" w:eastAsia="微软雅黑"/>
          <w:b w:val="0"/>
          <w:bCs w:val="0"/>
          <w:sz w:val="24"/>
        </w:rPr>
        <w:t>时间：2025年11月23日- 12月6日</w:t>
      </w:r>
    </w:p>
    <w:p w14:paraId="2FC79616">
      <w:pPr>
        <w:rPr>
          <w:rFonts w:hint="eastAsia" w:ascii="微软雅黑" w:hAnsi="微软雅黑" w:eastAsia="微软雅黑"/>
          <w:b w:val="0"/>
          <w:bCs w:val="0"/>
          <w:sz w:val="24"/>
        </w:rPr>
      </w:pPr>
      <w:r>
        <w:rPr>
          <w:rFonts w:hint="eastAsia" w:ascii="微软雅黑" w:hAnsi="微软雅黑" w:eastAsia="微软雅黑"/>
          <w:b w:val="0"/>
          <w:bCs w:val="0"/>
          <w:sz w:val="24"/>
        </w:rPr>
        <w:t>操作：联合第三方权威数据调研公司，对参评机构的市场表现、用户口碑、品牌影响力等进行综合调研与评估。</w:t>
      </w:r>
    </w:p>
    <w:p w14:paraId="21528ED0">
      <w:pPr>
        <w:rPr>
          <w:rFonts w:hint="eastAsia" w:ascii="微软雅黑" w:hAnsi="微软雅黑" w:eastAsia="微软雅黑"/>
          <w:b w:val="0"/>
          <w:bCs w:val="0"/>
          <w:sz w:val="24"/>
        </w:rPr>
      </w:pPr>
      <w:r>
        <w:rPr>
          <w:rFonts w:hint="eastAsia" w:ascii="微软雅黑" w:hAnsi="微软雅黑" w:eastAsia="微软雅黑"/>
          <w:b w:val="0"/>
          <w:bCs w:val="0"/>
          <w:sz w:val="24"/>
        </w:rPr>
        <w:t>C. 专家评审（权重30%）</w:t>
      </w:r>
    </w:p>
    <w:p w14:paraId="6FE0236D">
      <w:pPr>
        <w:rPr>
          <w:rFonts w:hint="eastAsia" w:ascii="微软雅黑" w:hAnsi="微软雅黑" w:eastAsia="微软雅黑"/>
          <w:b w:val="0"/>
          <w:bCs w:val="0"/>
          <w:sz w:val="24"/>
        </w:rPr>
      </w:pPr>
      <w:r>
        <w:rPr>
          <w:rFonts w:hint="eastAsia" w:ascii="微软雅黑" w:hAnsi="微软雅黑" w:eastAsia="微软雅黑"/>
          <w:b w:val="0"/>
          <w:bCs w:val="0"/>
          <w:sz w:val="24"/>
        </w:rPr>
        <w:t>时间：2025年12月6日-12月10日</w:t>
      </w:r>
    </w:p>
    <w:p w14:paraId="2A19FAE7">
      <w:pPr>
        <w:rPr>
          <w:rFonts w:hint="eastAsia" w:ascii="微软雅黑" w:hAnsi="微软雅黑" w:eastAsia="微软雅黑"/>
          <w:b w:val="0"/>
          <w:bCs w:val="0"/>
          <w:sz w:val="24"/>
        </w:rPr>
      </w:pPr>
      <w:r>
        <w:rPr>
          <w:rFonts w:hint="eastAsia" w:ascii="微软雅黑" w:hAnsi="微软雅黑" w:eastAsia="微软雅黑"/>
          <w:b w:val="0"/>
          <w:bCs w:val="0"/>
          <w:sz w:val="24"/>
        </w:rPr>
        <w:t>操作：组建不少于10人的权威专家评审团，在量化与网络评审的基础上，对候选机构进行最终评议与背对背打分。此环节侧重于专业判断与行业前瞻性。</w:t>
      </w:r>
    </w:p>
    <w:p w14:paraId="1383D2B1">
      <w:pPr>
        <w:rPr>
          <w:rFonts w:hint="eastAsia" w:ascii="微软雅黑" w:hAnsi="微软雅黑" w:eastAsia="微软雅黑"/>
          <w:b/>
          <w:bCs/>
          <w:sz w:val="24"/>
        </w:rPr>
      </w:pPr>
      <w:r>
        <w:rPr>
          <w:rFonts w:hint="eastAsia" w:ascii="微软雅黑" w:hAnsi="微软雅黑" w:eastAsia="微软雅黑"/>
          <w:b/>
          <w:bCs/>
          <w:sz w:val="24"/>
        </w:rPr>
        <w:t>第三阶段：结果确认（2025年12月10日- 12月15日）</w:t>
      </w:r>
    </w:p>
    <w:p w14:paraId="057B2C6E">
      <w:pPr>
        <w:rPr>
          <w:rFonts w:hint="eastAsia" w:ascii="微软雅黑" w:hAnsi="微软雅黑" w:eastAsia="微软雅黑"/>
          <w:b w:val="0"/>
          <w:bCs w:val="0"/>
          <w:sz w:val="24"/>
        </w:rPr>
      </w:pPr>
      <w:r>
        <w:rPr>
          <w:rFonts w:hint="eastAsia" w:ascii="微软雅黑" w:hAnsi="微软雅黑" w:eastAsia="微软雅黑"/>
          <w:b w:val="0"/>
          <w:bCs w:val="0"/>
          <w:sz w:val="24"/>
        </w:rPr>
        <w:t>数据汇总：组委会根据公式“总得分 = 量化评审(30%) + 网络评审(40%) + 专家评审(30%)” 进行最终分数核算与排名。</w:t>
      </w:r>
    </w:p>
    <w:p w14:paraId="6D8793F0">
      <w:pPr>
        <w:rPr>
          <w:rFonts w:hint="eastAsia" w:ascii="微软雅黑" w:hAnsi="微软雅黑" w:eastAsia="微软雅黑"/>
          <w:b w:val="0"/>
          <w:bCs w:val="0"/>
          <w:sz w:val="24"/>
        </w:rPr>
      </w:pPr>
      <w:r>
        <w:rPr>
          <w:rFonts w:hint="eastAsia" w:ascii="微软雅黑" w:hAnsi="微软雅黑" w:eastAsia="微软雅黑"/>
          <w:b w:val="0"/>
          <w:bCs w:val="0"/>
          <w:sz w:val="24"/>
        </w:rPr>
        <w:t>名单确认：召开评审委员会终审会议，确认最终获奖名单，确保过程的公平、公正、公开。</w:t>
      </w:r>
    </w:p>
    <w:p w14:paraId="48F3EA76">
      <w:pPr>
        <w:rPr>
          <w:rFonts w:hint="eastAsia" w:ascii="微软雅黑" w:hAnsi="微软雅黑" w:eastAsia="微软雅黑"/>
          <w:b/>
          <w:bCs/>
          <w:sz w:val="24"/>
        </w:rPr>
      </w:pPr>
      <w:r>
        <w:rPr>
          <w:rFonts w:hint="eastAsia" w:ascii="微软雅黑" w:hAnsi="微软雅黑" w:eastAsia="微软雅黑"/>
          <w:b/>
          <w:bCs/>
          <w:sz w:val="24"/>
        </w:rPr>
        <w:t>第四阶段：结果公示（2025年12月26日）</w:t>
      </w:r>
    </w:p>
    <w:p w14:paraId="17A84EB5">
      <w:pPr>
        <w:rPr>
          <w:rFonts w:hint="eastAsia" w:ascii="微软雅黑" w:hAnsi="微软雅黑" w:eastAsia="微软雅黑"/>
          <w:b w:val="0"/>
          <w:bCs w:val="0"/>
          <w:sz w:val="24"/>
        </w:rPr>
      </w:pPr>
      <w:r>
        <w:rPr>
          <w:rFonts w:hint="eastAsia" w:ascii="微软雅黑" w:hAnsi="微软雅黑" w:eastAsia="微软雅黑"/>
          <w:b w:val="0"/>
          <w:bCs w:val="0"/>
          <w:sz w:val="24"/>
          <w:lang w:val="en-US" w:eastAsia="zh-CN"/>
        </w:rPr>
        <w:t>最终</w:t>
      </w:r>
      <w:r>
        <w:rPr>
          <w:rFonts w:hint="eastAsia" w:ascii="微软雅黑" w:hAnsi="微软雅黑" w:eastAsia="微软雅黑"/>
          <w:b w:val="0"/>
          <w:bCs w:val="0"/>
          <w:sz w:val="24"/>
        </w:rPr>
        <w:t>获奖名单</w:t>
      </w:r>
      <w:r>
        <w:rPr>
          <w:rFonts w:hint="eastAsia" w:ascii="微软雅黑" w:hAnsi="微软雅黑" w:eastAsia="微软雅黑"/>
          <w:b w:val="0"/>
          <w:bCs w:val="0"/>
          <w:sz w:val="24"/>
          <w:lang w:val="en-US" w:eastAsia="zh-CN"/>
        </w:rPr>
        <w:t>将</w:t>
      </w:r>
      <w:r>
        <w:rPr>
          <w:rFonts w:hint="eastAsia" w:ascii="微软雅黑" w:hAnsi="微软雅黑" w:eastAsia="微软雅黑"/>
          <w:b w:val="0"/>
          <w:bCs w:val="0"/>
          <w:sz w:val="24"/>
        </w:rPr>
        <w:t>通过金融界PC端、手机金融界、金融界APP、官方微信、微博等全媒体矩阵进行公布。</w:t>
      </w:r>
    </w:p>
    <w:p w14:paraId="15E1E284">
      <w:pPr>
        <w:rPr>
          <w:rFonts w:ascii="微软雅黑" w:hAnsi="微软雅黑" w:eastAsia="微软雅黑"/>
          <w:sz w:val="24"/>
        </w:rPr>
      </w:pPr>
      <w:r>
        <w:rPr>
          <w:rFonts w:hint="eastAsia" w:ascii="微软雅黑" w:hAnsi="微软雅黑" w:eastAsia="微软雅黑"/>
          <w:sz w:val="24"/>
        </w:rPr>
        <w:t>备注</w:t>
      </w:r>
      <w:r>
        <w:rPr>
          <w:rFonts w:ascii="微软雅黑" w:hAnsi="微软雅黑" w:eastAsia="微软雅黑"/>
          <w:sz w:val="24"/>
        </w:rPr>
        <w:t>：</w:t>
      </w:r>
      <w:r>
        <w:rPr>
          <w:rFonts w:hint="eastAsia" w:ascii="微软雅黑" w:hAnsi="微软雅黑" w:eastAsia="微软雅黑"/>
          <w:sz w:val="24"/>
        </w:rPr>
        <w:t>本次</w:t>
      </w:r>
      <w:r>
        <w:rPr>
          <w:rFonts w:ascii="微软雅黑" w:hAnsi="微软雅黑" w:eastAsia="微软雅黑"/>
          <w:sz w:val="24"/>
        </w:rPr>
        <w:t>活动</w:t>
      </w:r>
      <w:r>
        <w:rPr>
          <w:rFonts w:hint="eastAsia" w:ascii="微软雅黑" w:hAnsi="微软雅黑" w:eastAsia="微软雅黑"/>
          <w:sz w:val="24"/>
        </w:rPr>
        <w:t>最终解释权归金融界所有。</w:t>
      </w:r>
    </w:p>
    <w:p w14:paraId="7588C4E6">
      <w:pPr>
        <w:rPr>
          <w:rFonts w:ascii="微软雅黑" w:hAnsi="微软雅黑" w:eastAsia="微软雅黑"/>
          <w:sz w:val="24"/>
        </w:rPr>
      </w:pPr>
    </w:p>
    <w:sectPr>
      <w:headerReference r:id="rId3" w:type="default"/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DC9874">
    <w:pPr>
      <w:pStyle w:val="3"/>
    </w:pPr>
    <w:r>
      <w:rPr>
        <w:rFonts w:hint="eastAsia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119380</wp:posOffset>
          </wp:positionH>
          <wp:positionV relativeFrom="paragraph">
            <wp:posOffset>-45085</wp:posOffset>
          </wp:positionV>
          <wp:extent cx="2071370" cy="314325"/>
          <wp:effectExtent l="0" t="0" r="5080" b="9525"/>
          <wp:wrapSquare wrapText="bothSides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71370" cy="3143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7A00F7C6">
    <w:pPr>
      <w:pStyle w:val="3"/>
      <w:rPr>
        <w:rFonts w:ascii="黑体" w:hAnsi="黑体" w:eastAsia="黑体"/>
      </w:rPr>
    </w:pPr>
    <w:r>
      <w:rPr>
        <w:rFonts w:hint="eastAsia"/>
      </w:rPr>
      <w:t xml:space="preserve">            </w:t>
    </w:r>
    <w:r>
      <w:t xml:space="preserve">                                                                             </w:t>
    </w:r>
    <w:r>
      <w:rPr>
        <w:rFonts w:hint="eastAsia" w:ascii="黑体" w:hAnsi="黑体" w:eastAsia="黑体"/>
        <w:lang w:val="en-US" w:eastAsia="zh-CN"/>
      </w:rPr>
      <w:t>第十四届</w:t>
    </w:r>
    <w:r>
      <w:rPr>
        <w:rFonts w:ascii="黑体" w:hAnsi="黑体" w:eastAsia="黑体"/>
      </w:rPr>
      <w:t>金融界 “</w:t>
    </w:r>
    <w:r>
      <w:rPr>
        <w:rFonts w:hint="eastAsia" w:ascii="黑体" w:hAnsi="黑体" w:eastAsia="黑体"/>
      </w:rPr>
      <w:t>金智</w:t>
    </w:r>
    <w:r>
      <w:rPr>
        <w:rFonts w:ascii="黑体" w:hAnsi="黑体" w:eastAsia="黑体"/>
      </w:rPr>
      <w:t>奖”</w:t>
    </w:r>
    <w:r>
      <w:rPr>
        <w:rFonts w:hint="eastAsia" w:ascii="黑体" w:hAnsi="黑体" w:eastAsia="黑体"/>
        <w:lang w:val="en-US" w:eastAsia="zh-CN"/>
      </w:rPr>
      <w:t>年度</w:t>
    </w:r>
    <w:r>
      <w:rPr>
        <w:rFonts w:hint="eastAsia" w:ascii="黑体" w:hAnsi="黑体" w:eastAsia="黑体"/>
      </w:rPr>
      <w:t>评选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2BE5272"/>
    <w:multiLevelType w:val="singleLevel"/>
    <w:tmpl w:val="82BE5272"/>
    <w:lvl w:ilvl="0" w:tentative="0">
      <w:start w:val="1"/>
      <w:numFmt w:val="upperLetter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4A89"/>
    <w:rsid w:val="00001DE1"/>
    <w:rsid w:val="00017CB4"/>
    <w:rsid w:val="00036CBE"/>
    <w:rsid w:val="00044FB7"/>
    <w:rsid w:val="000719EC"/>
    <w:rsid w:val="00090D6E"/>
    <w:rsid w:val="000C4E44"/>
    <w:rsid w:val="000E79D3"/>
    <w:rsid w:val="000F000F"/>
    <w:rsid w:val="00117964"/>
    <w:rsid w:val="00181AC1"/>
    <w:rsid w:val="00193002"/>
    <w:rsid w:val="001A379D"/>
    <w:rsid w:val="001C712E"/>
    <w:rsid w:val="001F51F4"/>
    <w:rsid w:val="001F7928"/>
    <w:rsid w:val="00233330"/>
    <w:rsid w:val="002520DB"/>
    <w:rsid w:val="00287A64"/>
    <w:rsid w:val="002937DB"/>
    <w:rsid w:val="002A4BED"/>
    <w:rsid w:val="002C60BE"/>
    <w:rsid w:val="002C6208"/>
    <w:rsid w:val="002F0248"/>
    <w:rsid w:val="0034321D"/>
    <w:rsid w:val="00371DB8"/>
    <w:rsid w:val="00375E69"/>
    <w:rsid w:val="00381B28"/>
    <w:rsid w:val="003B400A"/>
    <w:rsid w:val="003C3A3A"/>
    <w:rsid w:val="003E1BC8"/>
    <w:rsid w:val="003F1D90"/>
    <w:rsid w:val="003F78ED"/>
    <w:rsid w:val="004050C0"/>
    <w:rsid w:val="00405704"/>
    <w:rsid w:val="0041081C"/>
    <w:rsid w:val="00416B8C"/>
    <w:rsid w:val="00420360"/>
    <w:rsid w:val="00423AB2"/>
    <w:rsid w:val="00434632"/>
    <w:rsid w:val="00434A89"/>
    <w:rsid w:val="00445935"/>
    <w:rsid w:val="00451371"/>
    <w:rsid w:val="0046076F"/>
    <w:rsid w:val="00463A4C"/>
    <w:rsid w:val="00463B62"/>
    <w:rsid w:val="00471CB6"/>
    <w:rsid w:val="004A324A"/>
    <w:rsid w:val="004C35CD"/>
    <w:rsid w:val="004D556F"/>
    <w:rsid w:val="004E08A8"/>
    <w:rsid w:val="004E17AA"/>
    <w:rsid w:val="004F3CFB"/>
    <w:rsid w:val="004F4ABB"/>
    <w:rsid w:val="00525565"/>
    <w:rsid w:val="0056561F"/>
    <w:rsid w:val="00592FBC"/>
    <w:rsid w:val="005A1FD8"/>
    <w:rsid w:val="005B3949"/>
    <w:rsid w:val="005F3C27"/>
    <w:rsid w:val="00634292"/>
    <w:rsid w:val="0064674C"/>
    <w:rsid w:val="00666A02"/>
    <w:rsid w:val="006A6461"/>
    <w:rsid w:val="00700B8B"/>
    <w:rsid w:val="007359C7"/>
    <w:rsid w:val="00766A1F"/>
    <w:rsid w:val="007709CF"/>
    <w:rsid w:val="00784F47"/>
    <w:rsid w:val="00792C30"/>
    <w:rsid w:val="007C63B2"/>
    <w:rsid w:val="007E3A99"/>
    <w:rsid w:val="007E7800"/>
    <w:rsid w:val="008038BE"/>
    <w:rsid w:val="00803BCB"/>
    <w:rsid w:val="00811EE2"/>
    <w:rsid w:val="00815922"/>
    <w:rsid w:val="00820BA7"/>
    <w:rsid w:val="00840CCE"/>
    <w:rsid w:val="00842E10"/>
    <w:rsid w:val="0084407C"/>
    <w:rsid w:val="00855A6B"/>
    <w:rsid w:val="0086042A"/>
    <w:rsid w:val="00862775"/>
    <w:rsid w:val="00873FFE"/>
    <w:rsid w:val="008760EC"/>
    <w:rsid w:val="00876F85"/>
    <w:rsid w:val="00877897"/>
    <w:rsid w:val="008C5908"/>
    <w:rsid w:val="008D4A80"/>
    <w:rsid w:val="008E3909"/>
    <w:rsid w:val="008F74EC"/>
    <w:rsid w:val="00900421"/>
    <w:rsid w:val="00900E69"/>
    <w:rsid w:val="00992251"/>
    <w:rsid w:val="009A2079"/>
    <w:rsid w:val="009B3F86"/>
    <w:rsid w:val="009C0E44"/>
    <w:rsid w:val="009C3C4E"/>
    <w:rsid w:val="009C691A"/>
    <w:rsid w:val="009D2256"/>
    <w:rsid w:val="009E4609"/>
    <w:rsid w:val="00A15FE7"/>
    <w:rsid w:val="00A2242D"/>
    <w:rsid w:val="00A5715D"/>
    <w:rsid w:val="00A635C4"/>
    <w:rsid w:val="00A671EE"/>
    <w:rsid w:val="00A718D0"/>
    <w:rsid w:val="00A96240"/>
    <w:rsid w:val="00AB1385"/>
    <w:rsid w:val="00B0286B"/>
    <w:rsid w:val="00B24391"/>
    <w:rsid w:val="00B432EB"/>
    <w:rsid w:val="00B555E8"/>
    <w:rsid w:val="00B63FC7"/>
    <w:rsid w:val="00B71560"/>
    <w:rsid w:val="00BB670B"/>
    <w:rsid w:val="00BE60A6"/>
    <w:rsid w:val="00BF4DF5"/>
    <w:rsid w:val="00C0369F"/>
    <w:rsid w:val="00C14813"/>
    <w:rsid w:val="00C27217"/>
    <w:rsid w:val="00C33293"/>
    <w:rsid w:val="00CA6473"/>
    <w:rsid w:val="00CC3813"/>
    <w:rsid w:val="00CD47D5"/>
    <w:rsid w:val="00CE74FA"/>
    <w:rsid w:val="00CF1A4A"/>
    <w:rsid w:val="00CF5E46"/>
    <w:rsid w:val="00D06725"/>
    <w:rsid w:val="00D379ED"/>
    <w:rsid w:val="00D54E1A"/>
    <w:rsid w:val="00D67CA2"/>
    <w:rsid w:val="00D835BB"/>
    <w:rsid w:val="00D8516D"/>
    <w:rsid w:val="00DB11BD"/>
    <w:rsid w:val="00DC14D9"/>
    <w:rsid w:val="00DC2D3E"/>
    <w:rsid w:val="00DD10EC"/>
    <w:rsid w:val="00DE21D8"/>
    <w:rsid w:val="00DE76EF"/>
    <w:rsid w:val="00E132B7"/>
    <w:rsid w:val="00E23C43"/>
    <w:rsid w:val="00E36FD7"/>
    <w:rsid w:val="00E6345F"/>
    <w:rsid w:val="00E944D5"/>
    <w:rsid w:val="00EA1DE1"/>
    <w:rsid w:val="00ED2F1C"/>
    <w:rsid w:val="00EE064C"/>
    <w:rsid w:val="00F1198C"/>
    <w:rsid w:val="00F22A86"/>
    <w:rsid w:val="00F23C20"/>
    <w:rsid w:val="00F50C8F"/>
    <w:rsid w:val="00F63699"/>
    <w:rsid w:val="00F668B5"/>
    <w:rsid w:val="00F72E04"/>
    <w:rsid w:val="00F900EF"/>
    <w:rsid w:val="00FA7D0F"/>
    <w:rsid w:val="00FB35DD"/>
    <w:rsid w:val="00FD3E0F"/>
    <w:rsid w:val="00FD5B64"/>
    <w:rsid w:val="00FD6B44"/>
    <w:rsid w:val="09806D25"/>
    <w:rsid w:val="0A745034"/>
    <w:rsid w:val="0D650706"/>
    <w:rsid w:val="2BC872FB"/>
    <w:rsid w:val="2D73279F"/>
    <w:rsid w:val="3D4A629D"/>
    <w:rsid w:val="400B75FC"/>
    <w:rsid w:val="4B427308"/>
    <w:rsid w:val="6472739A"/>
    <w:rsid w:val="68AF4719"/>
    <w:rsid w:val="6E53105E"/>
    <w:rsid w:val="71363523"/>
    <w:rsid w:val="78091318"/>
    <w:rsid w:val="792A2958"/>
    <w:rsid w:val="7DD70A02"/>
    <w:rsid w:val="7F0352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6">
    <w:name w:val="Table Grid"/>
    <w:basedOn w:val="5"/>
    <w:qFormat/>
    <w:uiPriority w:val="59"/>
    <w:rPr>
      <w:rFonts w:ascii="Calibri" w:hAnsi="Calibri" w:eastAsia="宋体" w:cs="Times New Roman"/>
    </w:r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styleId="8">
    <w:name w:val="Strong"/>
    <w:basedOn w:val="7"/>
    <w:qFormat/>
    <w:uiPriority w:val="22"/>
    <w:rPr>
      <w:b/>
      <w:bCs/>
    </w:rPr>
  </w:style>
  <w:style w:type="character" w:styleId="9">
    <w:name w:val="Emphasis"/>
    <w:basedOn w:val="7"/>
    <w:qFormat/>
    <w:uiPriority w:val="20"/>
    <w:rPr>
      <w:color w:val="F73131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  <w:style w:type="character" w:customStyle="1" w:styleId="11">
    <w:name w:val="页眉 字符"/>
    <w:basedOn w:val="7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2">
    <w:name w:val="页脚 字符"/>
    <w:basedOn w:val="7"/>
    <w:link w:val="2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3">
    <w:name w:val="content-right_8zs401"/>
    <w:basedOn w:val="7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1121</Words>
  <Characters>1216</Characters>
  <Lines>15</Lines>
  <Paragraphs>4</Paragraphs>
  <TotalTime>0</TotalTime>
  <ScaleCrop>false</ScaleCrop>
  <LinksUpToDate>false</LinksUpToDate>
  <CharactersWithSpaces>1688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2025-10-16T07:37:00Z</dcterms:created>
  <dc:creator>葛文静</dc:creator>
  <cp:lastModifiedBy>百尹弥子</cp:lastModifiedBy>
  <cp:lastPrinted>2021-11-08T10:29:00Z</cp:lastPrinted>
  <dcterms:modified xsi:type="dcterms:W3CDTF">2025-11-12T07:17:09Z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eyJoZGlkIjoiZmQ5ZDY4ZjI3ZGRjMmE0NDFjNTkwNWYxNjE5YjBlZmMiLCJ1c2VySWQiOiIyNDU2Mzc4ODYifQ==</vt:lpwstr>
  </property>
  <property fmtid="{D5CDD505-2E9C-101B-9397-08002B2CF9AE}" pid="3" name="KSOProductBuildVer">
    <vt:lpwstr>2052-12.1.0.23542</vt:lpwstr>
  </property>
  <property fmtid="{D5CDD505-2E9C-101B-9397-08002B2CF9AE}" pid="4" name="ICV">
    <vt:lpwstr>CDC4A11B47144579A3662FFBFF58C604_13</vt:lpwstr>
  </property>
</Properties>
</file>