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公募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bookmarkStart w:id="0" w:name="_GoBack"/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bookmarkEnd w:id="0"/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高质量发展标杆基金公司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1A98B2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 投教IP与投资者服务：拥有运营超2年的原创投教IP，目标群体无提示认知度≥15%；市场连续下跌季度，高管/基金经理客户沟通场次环比增≥50%，且沟通内容聚焦长期理念传递。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2. 投研团队与人才建设：投研团队内部培养晋升占比≥60%，核心业务部门年度主动流失率≤5%；建立数字化内部投研知识库，年度人均访问频次≥24次（月均2次）。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3. 文化与合规运营：制定成文的《文化建设实施细则》，可提供内部审计或外部评估证明其有效执行；近3年无重大合规处罚。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持有人价值守护典范基金公司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6BB53CC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 长期盈利与利益协同。以长期收益为核心，构建持有人真实盈利体系，通过利益绑定机制实现与持有人共赢发展；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2. 深度陪伴与透明信披：市场异动时，客户陪伴沟通环比增≥80%（长期投资内容占比过半）；投教年度触达超千万且获监管转载至少2次；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3. 合规风控与权益保障：连续3年无重大合规处罚；监管转办投诉按时办结率100%，客户最终满意度≥90%。</w:t>
            </w:r>
          </w:p>
        </w:tc>
      </w:tr>
      <w:tr w14:paraId="40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8B646D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杰出REITs生态共建奖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15F23DE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 已上市REITs项目考核年度内，底层资产核心运营指标（营收、出租率等）连续四季度达招募说明书预测值，无重大运营风险；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2. 成功完成REITs扩募，或通过运营实现底层资产估值同比提升≥5%，且引入优质合作方推动行业资产管理能力输出；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3. 年度举办投资者交流会≥6场，联合合作方建立协同机制，是业界公认优秀参与主体；</w:t>
            </w:r>
          </w:p>
        </w:tc>
      </w:tr>
      <w:tr w14:paraId="635D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6C18201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杰出财富陪伴价值奖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27D68DC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1. 市场季度回撤超10%时，主动沟通环比增≥80%，安抚内容占比≥60%；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2. 平台互动率、回复率等数据在同类主播中居前列，用户粘性高；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  <w:t>3. 投教覆盖至少5万以上投资人，且满意度≥85%；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0FABC11A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290F6DB5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736E3E96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0E7B18E4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2937DF9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3664957E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9806D25"/>
    <w:rsid w:val="0A745034"/>
    <w:rsid w:val="0D650706"/>
    <w:rsid w:val="2BC872FB"/>
    <w:rsid w:val="2D73279F"/>
    <w:rsid w:val="400B75FC"/>
    <w:rsid w:val="44D27779"/>
    <w:rsid w:val="4726119E"/>
    <w:rsid w:val="4B427308"/>
    <w:rsid w:val="68AF4719"/>
    <w:rsid w:val="71363523"/>
    <w:rsid w:val="78091318"/>
    <w:rsid w:val="792A2958"/>
    <w:rsid w:val="7DD7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462</Words>
  <Characters>484</Characters>
  <Lines>15</Lines>
  <Paragraphs>4</Paragraphs>
  <TotalTime>0</TotalTime>
  <ScaleCrop>false</ScaleCrop>
  <LinksUpToDate>false</LinksUpToDate>
  <CharactersWithSpaces>937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1996680CCD984258A08D68C44E04BB15_13</vt:lpwstr>
  </property>
</Properties>
</file>